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6"/>
        <w:spacing w:lineRule="auto" w:line="276" w:before="57" w:after="57"/>
        <w:ind w:hanging="0" w:left="0" w:right="-1"/>
        <w:jc w:val="center"/>
        <w:rPr>
          <w:rFonts w:ascii="Verdana" w:hAnsi="Verdana"/>
          <w:sz w:val="20"/>
          <w:szCs w:val="20"/>
        </w:rPr>
      </w:pPr>
      <w:r>
        <w:rPr>
          <w:rFonts w:eastAsia="Batang" w:ascii="Verdana" w:hAnsi="Verdana"/>
          <w:sz w:val="20"/>
          <w:szCs w:val="20"/>
        </w:rPr>
        <w:t>ANEXO III</w:t>
      </w:r>
    </w:p>
    <w:p>
      <w:pPr>
        <w:pStyle w:val="Normal"/>
        <w:spacing w:lineRule="auto" w:line="276" w:before="57" w:after="57"/>
        <w:ind w:right="-1"/>
        <w:jc w:val="center"/>
        <w:rPr>
          <w:rFonts w:ascii="Verdana" w:hAnsi="Verdana" w:eastAsia="Batang"/>
          <w:sz w:val="20"/>
          <w:szCs w:val="20"/>
        </w:rPr>
      </w:pPr>
      <w:r>
        <w:rPr>
          <w:rFonts w:eastAsia="Batang" w:ascii="Verdana" w:hAnsi="Verdana"/>
          <w:sz w:val="20"/>
          <w:szCs w:val="20"/>
        </w:rPr>
      </w:r>
    </w:p>
    <w:tbl>
      <w:tblPr>
        <w:tblW w:w="9645" w:type="dxa"/>
        <w:jc w:val="left"/>
        <w:tblInd w:w="0" w:type="dxa"/>
        <w:tblLayout w:type="fixed"/>
        <w:tblCellMar>
          <w:top w:w="0" w:type="dxa"/>
          <w:left w:w="70" w:type="dxa"/>
          <w:bottom w:w="0" w:type="dxa"/>
          <w:right w:w="70" w:type="dxa"/>
        </w:tblCellMar>
      </w:tblPr>
      <w:tblGrid>
        <w:gridCol w:w="4448"/>
        <w:gridCol w:w="5196"/>
      </w:tblGrid>
      <w:tr>
        <w:trPr>
          <w:trHeight w:val="534" w:hRule="atLeast"/>
        </w:trPr>
        <w:tc>
          <w:tcPr>
            <w:tcW w:w="4448" w:type="dxa"/>
            <w:tcBorders/>
          </w:tcPr>
          <w:p>
            <w:pPr>
              <w:pStyle w:val="Normal"/>
              <w:widowControl w:val="false"/>
              <w:snapToGrid w:val="false"/>
              <w:spacing w:lineRule="auto" w:line="276" w:before="57" w:after="57"/>
              <w:jc w:val="both"/>
              <w:rPr>
                <w:rFonts w:ascii="Verdana" w:hAnsi="Verdana"/>
                <w:sz w:val="20"/>
                <w:szCs w:val="20"/>
              </w:rPr>
            </w:pPr>
            <w:r>
              <w:rPr>
                <w:rFonts w:ascii="Verdana" w:hAnsi="Verdana"/>
                <w:b/>
                <w:sz w:val="20"/>
                <w:szCs w:val="20"/>
              </w:rPr>
              <w:t xml:space="preserve">MINUTA </w:t>
            </w:r>
            <w:r>
              <w:rPr>
                <w:rFonts w:ascii="Verdana" w:hAnsi="Verdana"/>
                <w:b/>
                <w:sz w:val="20"/>
                <w:szCs w:val="20"/>
                <w:lang w:eastAsia="zh-CN"/>
              </w:rPr>
              <w:t>DE CONTRATO</w:t>
            </w:r>
            <w:r>
              <w:rPr>
                <w:rFonts w:ascii="Verdana" w:hAnsi="Verdana"/>
                <w:b/>
                <w:sz w:val="20"/>
                <w:szCs w:val="20"/>
              </w:rPr>
              <w:t xml:space="preserve"> nº ____/2026</w:t>
            </w:r>
          </w:p>
        </w:tc>
        <w:tc>
          <w:tcPr>
            <w:tcW w:w="5196" w:type="dxa"/>
            <w:tcBorders/>
          </w:tcPr>
          <w:p>
            <w:pPr>
              <w:pStyle w:val="Normal"/>
              <w:widowControl w:val="false"/>
              <w:snapToGrid w:val="false"/>
              <w:spacing w:lineRule="auto" w:line="276" w:before="57" w:after="57"/>
              <w:jc w:val="both"/>
              <w:rPr>
                <w:rFonts w:ascii="Verdana" w:hAnsi="Verdana"/>
                <w:sz w:val="20"/>
                <w:szCs w:val="20"/>
              </w:rPr>
            </w:pPr>
            <w:r>
              <w:rPr>
                <w:rFonts w:ascii="Verdana" w:hAnsi="Verdana"/>
                <w:b/>
                <w:sz w:val="20"/>
                <w:szCs w:val="20"/>
              </w:rPr>
              <w:t xml:space="preserve">Contrato que entre si celebram a Caixa de Assistência dos Servidores Públicos Municipais de São Gabriel da Palha e a Empresa </w:t>
            </w:r>
            <w:r>
              <w:rPr>
                <w:rFonts w:ascii="Verdana" w:hAnsi="Verdana"/>
                <w:b/>
                <w:sz w:val="20"/>
                <w:szCs w:val="20"/>
                <w:shd w:fill="auto" w:val="clear"/>
              </w:rPr>
              <w:t>XXXXXXXXXXXXXXXXXXX</w:t>
            </w:r>
            <w:r>
              <w:rPr>
                <w:rFonts w:ascii="Verdana" w:hAnsi="Verdana"/>
                <w:b/>
                <w:sz w:val="20"/>
                <w:szCs w:val="20"/>
              </w:rPr>
              <w:t>, na qualidade de contratante e contratada, respectivamente, para o fim expresso nas cláusulas que o integram.</w:t>
            </w:r>
          </w:p>
        </w:tc>
      </w:tr>
    </w:tbl>
    <w:p>
      <w:pPr>
        <w:pStyle w:val="Normal"/>
        <w:spacing w:lineRule="auto" w:line="276" w:before="57" w:after="57"/>
        <w:jc w:val="both"/>
        <w:rPr>
          <w:rFonts w:ascii="Verdana" w:hAnsi="Verdana"/>
          <w:b/>
          <w:sz w:val="20"/>
          <w:szCs w:val="20"/>
        </w:rPr>
      </w:pPr>
      <w:r>
        <w:rPr>
          <w:rFonts w:ascii="Verdana" w:hAnsi="Verdana"/>
          <w:b/>
          <w:sz w:val="20"/>
          <w:szCs w:val="20"/>
        </w:rPr>
      </w:r>
    </w:p>
    <w:p>
      <w:pPr>
        <w:pStyle w:val="Normal"/>
        <w:spacing w:lineRule="auto" w:line="276" w:before="57" w:after="57"/>
        <w:jc w:val="both"/>
        <w:rPr/>
      </w:pPr>
      <w:r>
        <w:rPr>
          <w:rFonts w:eastAsia="Times New Roman" w:ascii="Verdana" w:hAnsi="Verdana"/>
          <w:sz w:val="20"/>
          <w:szCs w:val="20"/>
        </w:rPr>
        <w:t xml:space="preserve">Pelo presente instrumento </w:t>
      </w:r>
      <w:r>
        <w:rPr>
          <w:rFonts w:eastAsia="Times New Roman" w:ascii="Verdana" w:hAnsi="Verdana"/>
          <w:sz w:val="20"/>
          <w:szCs w:val="20"/>
          <w:lang w:eastAsia="zh-CN"/>
        </w:rPr>
        <w:t>de contrato</w:t>
      </w:r>
      <w:r>
        <w:rPr>
          <w:rFonts w:eastAsia="Times New Roman" w:ascii="Verdana" w:hAnsi="Verdana"/>
          <w:sz w:val="20"/>
          <w:szCs w:val="20"/>
        </w:rPr>
        <w:t>, de um lado a Caixa de Assistência dos Servidores Públicos Municipais de São Gabriel da Palha, pessoa jurídica de direito público interno, CNPJ nº 02.256.983/0001-57 situado à Rua 14 de Maio, nº 196, Bairro Glória, São Gabriel da Palha - ES, CEP: 29.780-000, telefone nº 027-3727-1010, doravante denominada CONTRATANTE, neste ato representada por seu Superintendente CASP-SGP,</w:t>
      </w:r>
      <w:r>
        <w:rPr>
          <w:rFonts w:eastAsia="Times New Roman" w:ascii="Verdana" w:hAnsi="Verdana"/>
          <w:sz w:val="20"/>
          <w:szCs w:val="20"/>
          <w:shd w:fill="auto" w:val="clear"/>
        </w:rPr>
        <w:t xml:space="preserve">________________, ____(nacionalidade)____, ___(estado civil)___, portador do RG nº _________ e do CPF nº _____________, e, de outro lado, a empresa </w:t>
      </w:r>
      <w:r>
        <w:rPr>
          <w:rFonts w:eastAsia="Times New Roman" w:ascii="Verdana" w:hAnsi="Verdana"/>
          <w:b/>
          <w:bCs/>
          <w:sz w:val="20"/>
          <w:szCs w:val="20"/>
          <w:shd w:fill="auto" w:val="clear"/>
        </w:rPr>
        <w:t>_________________</w:t>
      </w:r>
      <w:r>
        <w:rPr>
          <w:rFonts w:eastAsia="Times New Roman" w:ascii="Verdana" w:hAnsi="Verdana"/>
          <w:sz w:val="20"/>
          <w:szCs w:val="20"/>
          <w:shd w:fill="auto" w:val="clear"/>
        </w:rPr>
        <w:t>, CNPJ nº ______________, com sede na _______________________________, neste ato representada por seu administrador, ___________________________________,</w:t>
      </w:r>
      <w:r>
        <w:rPr>
          <w:rFonts w:eastAsia="Times New Roman" w:ascii="Verdana" w:hAnsi="Verdana"/>
          <w:sz w:val="20"/>
          <w:szCs w:val="20"/>
        </w:rPr>
        <w:t xml:space="preserve"> doravante denominada CONTRATADA, considerando o</w:t>
      </w:r>
      <w:r>
        <w:rPr>
          <w:rFonts w:eastAsia="Times New Roman" w:ascii="Verdana" w:hAnsi="Verdana"/>
          <w:b/>
          <w:bCs/>
          <w:sz w:val="20"/>
          <w:szCs w:val="20"/>
        </w:rPr>
        <w:t xml:space="preserve"> Processo Administrativo nº 000</w:t>
      </w:r>
      <w:r>
        <w:rPr>
          <w:rFonts w:eastAsia="Times New Roman" w:ascii="Verdana" w:hAnsi="Verdana"/>
          <w:b/>
          <w:bCs/>
          <w:sz w:val="20"/>
          <w:szCs w:val="20"/>
        </w:rPr>
        <w:t>085/</w:t>
      </w:r>
      <w:r>
        <w:rPr>
          <w:rFonts w:eastAsia="Times New Roman" w:ascii="Verdana" w:hAnsi="Verdana"/>
          <w:b/>
          <w:bCs/>
          <w:sz w:val="20"/>
          <w:szCs w:val="20"/>
        </w:rPr>
        <w:t>202</w:t>
      </w:r>
      <w:r>
        <w:rPr>
          <w:rFonts w:eastAsia="Times New Roman" w:ascii="Verdana" w:hAnsi="Verdana"/>
          <w:b/>
          <w:bCs/>
          <w:sz w:val="20"/>
          <w:szCs w:val="20"/>
        </w:rPr>
        <w:t>6</w:t>
      </w:r>
      <w:r>
        <w:rPr>
          <w:rFonts w:eastAsia="Times New Roman" w:ascii="Verdana" w:hAnsi="Verdana"/>
          <w:b/>
          <w:bCs/>
          <w:sz w:val="20"/>
          <w:szCs w:val="20"/>
        </w:rPr>
        <w:t xml:space="preserve">, </w:t>
      </w:r>
      <w:r>
        <w:rPr>
          <w:rFonts w:eastAsia="Times New Roman" w:ascii="Verdana" w:hAnsi="Verdana"/>
          <w:bCs/>
          <w:sz w:val="20"/>
          <w:szCs w:val="20"/>
        </w:rPr>
        <w:t xml:space="preserve">firmam o </w:t>
      </w:r>
      <w:r>
        <w:rPr>
          <w:rFonts w:eastAsia="Times New Roman" w:ascii="Verdana" w:hAnsi="Verdana"/>
          <w:sz w:val="20"/>
          <w:szCs w:val="20"/>
        </w:rPr>
        <w:t xml:space="preserve">presente contrato </w:t>
      </w:r>
      <w:r>
        <w:rPr>
          <w:rFonts w:eastAsia="Times New Roman" w:ascii="Verdana" w:hAnsi="Verdana"/>
          <w:bCs/>
          <w:sz w:val="20"/>
          <w:szCs w:val="20"/>
        </w:rPr>
        <w:t xml:space="preserve">que será </w:t>
      </w:r>
      <w:r>
        <w:rPr>
          <w:rFonts w:eastAsia="Times New Roman" w:ascii="Verdana" w:hAnsi="Verdana"/>
          <w:sz w:val="20"/>
          <w:szCs w:val="20"/>
        </w:rPr>
        <w:t>regido pela Lei nº 14.133/2021, em conformidade com as disposições a seguir.</w:t>
      </w:r>
    </w:p>
    <w:p>
      <w:pPr>
        <w:pStyle w:val="Normal"/>
        <w:widowControl/>
        <w:suppressAutoHyphens w:val="true"/>
        <w:bidi w:val="0"/>
        <w:spacing w:lineRule="auto" w:line="276" w:before="57" w:after="57"/>
        <w:ind w:hanging="0" w:left="0" w:right="0"/>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b/>
          <w:sz w:val="20"/>
          <w:szCs w:val="20"/>
        </w:rPr>
        <w:t>CLÁUSULA PRIMEIRA - DO OBJETO</w:t>
      </w:r>
    </w:p>
    <w:p>
      <w:pPr>
        <w:pStyle w:val="Normal"/>
        <w:widowContro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uppressAutoHyphens w:val="true"/>
        <w:bidi w:val="0"/>
        <w:spacing w:lineRule="auto" w:line="276" w:before="57" w:after="57"/>
        <w:ind w:hanging="0" w:left="0" w:right="0"/>
        <w:jc w:val="both"/>
        <w:rPr/>
      </w:pPr>
      <w:r>
        <w:rPr>
          <w:rStyle w:val="Character20style"/>
          <w:rFonts w:eastAsia="Times New Roman" w:cs="Arial" w:ascii="Verdana" w:hAnsi="Verdana"/>
          <w:sz w:val="20"/>
          <w:szCs w:val="20"/>
          <w:shd w:fill="FFFFFF" w:val="clear"/>
          <w:lang w:eastAsia="zh-CN" w:bidi="hi-IN"/>
        </w:rPr>
        <w:t xml:space="preserve">Contratação de empresa especializada para Prestação de Serviços de Soluções para Gerenciamento </w:t>
      </w:r>
      <w:r>
        <w:rPr>
          <w:rStyle w:val="Character20style"/>
          <w:rFonts w:eastAsia="Times New Roman" w:cs="Arial" w:ascii="Verdana" w:hAnsi="Verdana"/>
          <w:bCs/>
          <w:sz w:val="20"/>
          <w:szCs w:val="20"/>
          <w:shd w:fill="FFFFFF" w:val="clear"/>
          <w:lang w:eastAsia="zh-CN" w:bidi="hi-IN"/>
        </w:rPr>
        <w:t>e Processamento das Rotinas Administrativas e Transparência da Caixa de Assistência dos Servidores Públicos do Município de São Gabriel da Palha – ES (fornecimento dos softwares, suporte técnico, adequações, personalizações  e atualizações durante todo o seu período de vigência).</w:t>
      </w:r>
    </w:p>
    <w:p>
      <w:pPr>
        <w:pStyle w:val="Nivel2"/>
        <w:numPr>
          <w:ilvl w:val="0"/>
          <w:numId w:val="0"/>
        </w:numPr>
        <w:spacing w:lineRule="auto" w:line="276" w:before="57" w:after="57"/>
        <w:ind w:hanging="390" w:left="390"/>
        <w:rPr/>
      </w:pPr>
      <w:r>
        <w:rPr>
          <w:rStyle w:val="Character20style"/>
          <w:rFonts w:ascii="Verdana" w:hAnsi="Verdana"/>
          <w:b/>
          <w:bCs/>
          <w:color w:val="auto"/>
          <w:sz w:val="20"/>
          <w:szCs w:val="20"/>
          <w:lang w:bidi="hi-IN"/>
        </w:rPr>
        <w:t>1.2</w:t>
      </w:r>
      <w:r>
        <w:rPr>
          <w:rStyle w:val="Character20style"/>
          <w:rFonts w:ascii="Verdana" w:hAnsi="Verdana"/>
          <w:color w:val="auto"/>
          <w:sz w:val="20"/>
          <w:szCs w:val="20"/>
          <w:lang w:bidi="hi-IN"/>
        </w:rPr>
        <w:t xml:space="preserve"> O objeto ora contratado consistirá das seguintes especialidades:</w:t>
      </w:r>
    </w:p>
    <w:p>
      <w:pPr>
        <w:pStyle w:val="Nivel2"/>
        <w:numPr>
          <w:ilvl w:val="0"/>
          <w:numId w:val="0"/>
        </w:numPr>
        <w:spacing w:lineRule="auto" w:line="276" w:before="57" w:after="57"/>
        <w:ind w:hanging="390" w:left="390"/>
        <w:rPr/>
      </w:pPr>
      <w:r>
        <w:rPr>
          <w:rStyle w:val="Character20style"/>
          <w:rFonts w:ascii="Verdana" w:hAnsi="Verdana"/>
          <w:b/>
          <w:bCs/>
          <w:color w:val="auto"/>
          <w:sz w:val="20"/>
          <w:szCs w:val="20"/>
          <w:lang w:bidi="hi-IN"/>
        </w:rPr>
        <w:t>a)</w:t>
      </w:r>
      <w:r>
        <w:rPr>
          <w:rStyle w:val="Character20style"/>
          <w:rFonts w:ascii="Verdana" w:hAnsi="Verdana"/>
          <w:color w:val="auto"/>
          <w:sz w:val="20"/>
          <w:szCs w:val="20"/>
          <w:lang w:bidi="hi-IN"/>
        </w:rPr>
        <w:t xml:space="preserve"> </w:t>
      </w:r>
      <w:r>
        <w:rPr>
          <w:rStyle w:val="Character20style"/>
          <w:rFonts w:ascii="Verdana" w:hAnsi="Verdana"/>
          <w:b/>
          <w:bCs/>
          <w:color w:val="auto"/>
          <w:sz w:val="20"/>
          <w:szCs w:val="20"/>
          <w:lang w:bidi="hi-IN"/>
        </w:rPr>
        <w:t>Serviços preliminares consistindo de:</w:t>
      </w:r>
    </w:p>
    <w:p>
      <w:pPr>
        <w:pStyle w:val="Nivel2"/>
        <w:numPr>
          <w:ilvl w:val="0"/>
          <w:numId w:val="0"/>
        </w:numPr>
        <w:spacing w:lineRule="auto" w:line="276" w:before="57" w:after="57"/>
        <w:ind w:hanging="0" w:left="390"/>
        <w:rPr/>
      </w:pPr>
      <w:r>
        <w:rPr>
          <w:rStyle w:val="Character20style"/>
          <w:rFonts w:ascii="Verdana" w:hAnsi="Verdana"/>
          <w:b/>
          <w:bCs/>
          <w:color w:val="auto"/>
          <w:sz w:val="20"/>
          <w:szCs w:val="20"/>
          <w:lang w:bidi="hi-IN"/>
        </w:rPr>
        <w:t>I.</w:t>
      </w:r>
      <w:r>
        <w:rPr>
          <w:rStyle w:val="Character20style"/>
          <w:rFonts w:ascii="Verdana" w:hAnsi="Verdana"/>
          <w:color w:val="auto"/>
          <w:sz w:val="20"/>
          <w:szCs w:val="20"/>
          <w:lang w:bidi="hi-IN"/>
        </w:rPr>
        <w:t xml:space="preserve"> Conversão de dados preexistentes;</w:t>
      </w:r>
    </w:p>
    <w:p>
      <w:pPr>
        <w:pStyle w:val="Nivel2"/>
        <w:numPr>
          <w:ilvl w:val="0"/>
          <w:numId w:val="0"/>
        </w:numPr>
        <w:spacing w:lineRule="auto" w:line="276" w:before="57" w:after="57"/>
        <w:ind w:hanging="0" w:left="390"/>
        <w:rPr/>
      </w:pPr>
      <w:r>
        <w:rPr>
          <w:rStyle w:val="Character20style"/>
          <w:rFonts w:ascii="Verdana" w:hAnsi="Verdana"/>
          <w:b/>
          <w:bCs/>
          <w:color w:val="auto"/>
          <w:sz w:val="20"/>
          <w:szCs w:val="20"/>
          <w:lang w:bidi="hi-IN"/>
        </w:rPr>
        <w:t>II.</w:t>
      </w:r>
      <w:r>
        <w:rPr>
          <w:rStyle w:val="Character20style"/>
          <w:rFonts w:ascii="Verdana" w:hAnsi="Verdana"/>
          <w:color w:val="auto"/>
          <w:sz w:val="20"/>
          <w:szCs w:val="20"/>
          <w:lang w:bidi="hi-IN"/>
        </w:rPr>
        <w:t xml:space="preserve"> Migração, implantação, instalação e licença de uso dos sistemas;</w:t>
      </w:r>
    </w:p>
    <w:p>
      <w:pPr>
        <w:pStyle w:val="Nivel2"/>
        <w:numPr>
          <w:ilvl w:val="0"/>
          <w:numId w:val="0"/>
        </w:numPr>
        <w:spacing w:lineRule="auto" w:line="276" w:before="57" w:after="57"/>
        <w:ind w:hanging="0" w:left="390"/>
        <w:rPr/>
      </w:pPr>
      <w:r>
        <w:rPr>
          <w:rStyle w:val="Character20style"/>
          <w:rFonts w:ascii="Verdana" w:hAnsi="Verdana"/>
          <w:b/>
          <w:bCs/>
          <w:color w:val="auto"/>
          <w:sz w:val="20"/>
          <w:szCs w:val="20"/>
          <w:lang w:bidi="hi-IN"/>
        </w:rPr>
        <w:t>III.</w:t>
      </w:r>
      <w:r>
        <w:rPr>
          <w:rStyle w:val="Character20style"/>
          <w:rFonts w:ascii="Verdana" w:hAnsi="Verdana"/>
          <w:color w:val="auto"/>
          <w:sz w:val="20"/>
          <w:szCs w:val="20"/>
          <w:lang w:bidi="hi-IN"/>
        </w:rPr>
        <w:t xml:space="preserve"> Customização, suporte e manutenção dos sistemas</w:t>
      </w:r>
    </w:p>
    <w:p>
      <w:pPr>
        <w:pStyle w:val="Nivel2"/>
        <w:numPr>
          <w:ilvl w:val="0"/>
          <w:numId w:val="0"/>
        </w:numPr>
        <w:spacing w:lineRule="auto" w:line="276" w:before="57" w:after="57"/>
        <w:ind w:hanging="0" w:left="390"/>
        <w:rPr/>
      </w:pPr>
      <w:r>
        <w:rPr>
          <w:rStyle w:val="Character20style"/>
          <w:rFonts w:ascii="Verdana" w:hAnsi="Verdana"/>
          <w:b/>
          <w:bCs/>
          <w:color w:val="auto"/>
          <w:sz w:val="20"/>
          <w:szCs w:val="20"/>
          <w:lang w:bidi="hi-IN"/>
        </w:rPr>
        <w:t>IV.</w:t>
      </w:r>
      <w:r>
        <w:rPr>
          <w:rStyle w:val="Character20style"/>
          <w:rFonts w:ascii="Verdana" w:hAnsi="Verdana"/>
          <w:color w:val="auto"/>
          <w:sz w:val="20"/>
          <w:szCs w:val="20"/>
          <w:lang w:bidi="hi-IN"/>
        </w:rPr>
        <w:t xml:space="preserve"> Treinamento dos usuários;</w:t>
      </w:r>
    </w:p>
    <w:p>
      <w:pPr>
        <w:pStyle w:val="Nivel2"/>
        <w:numPr>
          <w:ilvl w:val="0"/>
          <w:numId w:val="0"/>
        </w:numPr>
        <w:spacing w:lineRule="auto" w:line="276" w:before="57" w:after="57"/>
        <w:ind w:hanging="390" w:left="390"/>
        <w:rPr/>
      </w:pPr>
      <w:r>
        <w:rPr>
          <w:rStyle w:val="Character20style"/>
          <w:rFonts w:ascii="Verdana" w:hAnsi="Verdana"/>
          <w:b/>
          <w:bCs/>
          <w:color w:val="auto"/>
          <w:sz w:val="20"/>
          <w:szCs w:val="20"/>
          <w:lang w:bidi="hi-IN"/>
        </w:rPr>
        <w:t>b)</w:t>
      </w:r>
      <w:r>
        <w:rPr>
          <w:rStyle w:val="Character20style"/>
          <w:rFonts w:ascii="Verdana" w:hAnsi="Verdana"/>
          <w:color w:val="auto"/>
          <w:sz w:val="20"/>
          <w:szCs w:val="20"/>
          <w:lang w:bidi="hi-IN"/>
        </w:rPr>
        <w:t xml:space="preserve"> </w:t>
      </w:r>
      <w:r>
        <w:rPr>
          <w:rStyle w:val="Character20style"/>
          <w:rFonts w:ascii="Verdana" w:hAnsi="Verdana"/>
          <w:b/>
          <w:bCs/>
          <w:color w:val="auto"/>
          <w:sz w:val="20"/>
          <w:szCs w:val="20"/>
          <w:lang w:bidi="hi-IN"/>
        </w:rPr>
        <w:t>Manutenção mensal com suporte presente e à distância, durante toda a vigência do contrato dos seguintes sistemas:</w:t>
      </w:r>
    </w:p>
    <w:p>
      <w:pPr>
        <w:pStyle w:val="Nivel2"/>
        <w:numPr>
          <w:ilvl w:val="0"/>
          <w:numId w:val="0"/>
        </w:numPr>
        <w:spacing w:lineRule="auto" w:line="276" w:before="57" w:after="57"/>
        <w:ind w:hanging="0" w:left="390"/>
        <w:rPr/>
      </w:pPr>
      <w:r>
        <w:rPr>
          <w:rStyle w:val="Character20style"/>
          <w:rFonts w:ascii="Verdana" w:hAnsi="Verdana"/>
          <w:b/>
          <w:bCs/>
          <w:color w:val="auto"/>
          <w:sz w:val="20"/>
          <w:szCs w:val="20"/>
          <w:lang w:bidi="hi-IN"/>
        </w:rPr>
        <w:t>I.</w:t>
      </w:r>
      <w:r>
        <w:rPr>
          <w:rStyle w:val="Character20style"/>
          <w:rFonts w:ascii="Verdana" w:hAnsi="Verdana"/>
          <w:color w:val="auto"/>
          <w:sz w:val="20"/>
          <w:szCs w:val="20"/>
          <w:lang w:bidi="hi-IN"/>
        </w:rPr>
        <w:tab/>
      </w:r>
      <w:r>
        <w:rPr>
          <w:rStyle w:val="Character20style"/>
          <w:rFonts w:eastAsia="Times New Roman" w:cs="Arial" w:ascii="Verdana" w:hAnsi="Verdana"/>
          <w:bCs/>
          <w:sz w:val="20"/>
          <w:szCs w:val="20"/>
          <w:shd w:fill="FFFFFF" w:val="clear"/>
          <w:lang w:eastAsia="zh-CN" w:bidi="hi-IN"/>
        </w:rPr>
        <w:t xml:space="preserve">Sistemas Integrados de Compras, Licitações e Contratos, Almoxarifado, Controle de Bens Patrimoniais, de Serviços Portal da Transparência e de Gestão de Protocolos e Processos Hospedados em DataCenter; </w:t>
      </w:r>
    </w:p>
    <w:p>
      <w:pPr>
        <w:pStyle w:val="Nivel2"/>
        <w:numPr>
          <w:ilvl w:val="0"/>
          <w:numId w:val="0"/>
        </w:numPr>
        <w:spacing w:lineRule="auto" w:line="276" w:before="57" w:after="57"/>
        <w:ind w:hanging="0" w:left="0"/>
        <w:rPr/>
      </w:pPr>
      <w:r>
        <w:rPr>
          <w:rStyle w:val="Character20style"/>
          <w:rFonts w:ascii="Verdana" w:hAnsi="Verdana"/>
          <w:b/>
          <w:bCs/>
          <w:color w:val="auto"/>
          <w:sz w:val="20"/>
          <w:szCs w:val="20"/>
          <w:lang w:bidi="hi-IN"/>
        </w:rPr>
        <w:t>1.3</w:t>
      </w:r>
      <w:r>
        <w:rPr>
          <w:rStyle w:val="Character20style"/>
          <w:rFonts w:ascii="Verdana" w:hAnsi="Verdana"/>
          <w:color w:val="auto"/>
          <w:sz w:val="20"/>
          <w:szCs w:val="20"/>
          <w:lang w:bidi="hi-IN"/>
        </w:rPr>
        <w:t xml:space="preserve"> A presente contratação não confere a CONTRATANTE direito de propriedade e/ou exclusividade na utilização dos sistemas, assim como seus módulos e partes, que continuam sob a propriedade da CONTRATADA, podendo esta, livremente, de qualquer forma ou modo, no Brasil ou no exterior, ceder, licenciar ou alienar a terceiros o SISTEMA, seus módulos, versões e as customizações efetuadas, sem que para tanto seja necessário qualquer autorização e/ou ciência da CONTRATANTE.  </w:t>
      </w:r>
    </w:p>
    <w:p>
      <w:pPr>
        <w:pStyle w:val="Nivel2"/>
        <w:numPr>
          <w:ilvl w:val="0"/>
          <w:numId w:val="0"/>
        </w:numPr>
        <w:spacing w:lineRule="auto" w:line="276" w:before="57" w:after="57"/>
        <w:ind w:hanging="0" w:left="0"/>
        <w:rPr/>
      </w:pPr>
      <w:r>
        <w:rPr>
          <w:rStyle w:val="Character20style"/>
          <w:rFonts w:ascii="Verdana" w:hAnsi="Verdana"/>
          <w:b/>
          <w:bCs/>
          <w:color w:val="auto"/>
          <w:sz w:val="20"/>
          <w:szCs w:val="20"/>
          <w:lang w:bidi="hi-IN"/>
        </w:rPr>
        <w:t>1.4</w:t>
      </w:r>
      <w:r>
        <w:rPr>
          <w:rStyle w:val="Character20style"/>
          <w:rFonts w:ascii="Verdana" w:hAnsi="Verdana"/>
          <w:color w:val="auto"/>
          <w:sz w:val="20"/>
          <w:szCs w:val="20"/>
          <w:lang w:bidi="hi-IN"/>
        </w:rPr>
        <w:t xml:space="preserve"> A licença de uso ora concedida dá a CONTRATANTE o direito, não exclusivo e intransferível, de usar o sistema unicamente para processamento de seus dados, em computadores de sua propriedade e dentro de suas dependências, conforme especificado neste contrato, com exceção daqueles que serão instalados em data center de responsabilidade da empresa contratada.</w:t>
      </w:r>
    </w:p>
    <w:p>
      <w:pPr>
        <w:pStyle w:val="Nivel2"/>
        <w:numPr>
          <w:ilvl w:val="0"/>
          <w:numId w:val="0"/>
        </w:numPr>
        <w:spacing w:lineRule="auto" w:line="276" w:before="57" w:after="57"/>
        <w:ind w:hanging="0" w:left="0"/>
        <w:rPr/>
      </w:pPr>
      <w:r>
        <w:rPr>
          <w:rStyle w:val="Character20style"/>
          <w:rFonts w:ascii="Verdana" w:hAnsi="Verdana"/>
          <w:b/>
          <w:bCs/>
          <w:color w:val="auto"/>
          <w:sz w:val="20"/>
          <w:szCs w:val="20"/>
          <w:lang w:bidi="hi-IN"/>
        </w:rPr>
        <w:t>1.5</w:t>
      </w:r>
      <w:r>
        <w:rPr>
          <w:rStyle w:val="Character20style"/>
          <w:rFonts w:ascii="Verdana" w:hAnsi="Verdana"/>
          <w:color w:val="auto"/>
          <w:sz w:val="20"/>
          <w:szCs w:val="20"/>
          <w:lang w:bidi="hi-IN"/>
        </w:rPr>
        <w:t xml:space="preserve"> Para implantação dos sistemas, a autoridade competente, emitirá Autorização de Serviços específica, devendo a contagem do prazo para início da execução dos serviços ser iniciada a partir da data de recebimento da referida Autorização, não sendo obrigatório que a Caixa de Assistencia inicie a implantação de todos os sistemas ora licitados de uma só vez, solicitando-os à licitante vencedora de acordo com a necessidade, caso haja.</w:t>
      </w:r>
    </w:p>
    <w:p>
      <w:pPr>
        <w:pStyle w:val="Nivel2"/>
        <w:numPr>
          <w:ilvl w:val="0"/>
          <w:numId w:val="0"/>
        </w:numPr>
        <w:spacing w:lineRule="auto" w:line="276" w:before="57" w:after="57"/>
        <w:ind w:hanging="0" w:left="0"/>
        <w:rPr/>
      </w:pPr>
      <w:r>
        <w:rPr>
          <w:rStyle w:val="Character20style"/>
          <w:rFonts w:ascii="Verdana" w:hAnsi="Verdana"/>
          <w:b/>
          <w:bCs/>
          <w:color w:val="auto"/>
          <w:sz w:val="20"/>
          <w:szCs w:val="20"/>
          <w:lang w:bidi="hi-IN"/>
        </w:rPr>
        <w:t>1.6</w:t>
      </w:r>
      <w:r>
        <w:rPr>
          <w:rStyle w:val="Character20style"/>
          <w:rFonts w:ascii="Verdana" w:hAnsi="Verdana"/>
          <w:color w:val="auto"/>
          <w:sz w:val="20"/>
          <w:szCs w:val="20"/>
          <w:lang w:bidi="hi-IN"/>
        </w:rPr>
        <w:t xml:space="preserve"> Eventuais treinamentos, reinstalações, migração, adequações e atualizações tecnológicas necessárias ao longo da execução do contrato, não terão acréscimo de valor, e serão de responsabilidade da empresa contratada.</w:t>
      </w:r>
    </w:p>
    <w:p>
      <w:pPr>
        <w:pStyle w:val="Nivel2"/>
        <w:numPr>
          <w:ilvl w:val="0"/>
          <w:numId w:val="0"/>
        </w:numPr>
        <w:spacing w:lineRule="auto" w:line="276" w:before="57" w:after="57"/>
        <w:ind w:hanging="0" w:left="0"/>
        <w:rPr/>
      </w:pPr>
      <w:r>
        <w:rPr>
          <w:rStyle w:val="Character20style"/>
          <w:rFonts w:ascii="Verdana" w:hAnsi="Verdana"/>
          <w:b/>
          <w:bCs/>
          <w:color w:val="auto"/>
          <w:sz w:val="20"/>
          <w:szCs w:val="20"/>
          <w:lang w:bidi="hi-IN"/>
        </w:rPr>
        <w:t>1.7</w:t>
      </w:r>
      <w:r>
        <w:rPr>
          <w:rStyle w:val="Character20style"/>
          <w:rFonts w:ascii="Verdana" w:hAnsi="Verdana"/>
          <w:color w:val="auto"/>
          <w:sz w:val="20"/>
          <w:szCs w:val="20"/>
          <w:lang w:bidi="hi-IN"/>
        </w:rPr>
        <w:t xml:space="preserve"> Os serviços de migração, implantação, treinamento e conversão de dados, conforme citados na alínea “a” do item “1.2” deste contrato, somente serão executados se houver necessidade, com a anuência da Caixa de Assistência dos Servidores Públicos Municipais de São Gabriel da Palha. </w:t>
      </w:r>
    </w:p>
    <w:p>
      <w:pPr>
        <w:pStyle w:val="NoSpacing"/>
        <w:spacing w:lineRule="auto" w:line="276" w:before="57" w:after="57"/>
        <w:jc w:val="both"/>
        <w:rPr>
          <w:rFonts w:ascii="Verdana" w:hAnsi="Verdana"/>
          <w:sz w:val="20"/>
          <w:szCs w:val="20"/>
        </w:rPr>
      </w:pPr>
      <w:r>
        <w:rPr>
          <w:rFonts w:ascii="Verdana" w:hAnsi="Verdana"/>
          <w:sz w:val="20"/>
          <w:szCs w:val="20"/>
        </w:rPr>
      </w:r>
    </w:p>
    <w:p>
      <w:pPr>
        <w:pStyle w:val="Normal"/>
        <w:tabs>
          <w:tab w:val="clear" w:pos="708"/>
          <w:tab w:val="left" w:pos="284" w:leader="none"/>
        </w:tabs>
        <w:spacing w:lineRule="auto" w:line="276" w:before="57" w:after="57"/>
        <w:jc w:val="both"/>
        <w:rPr>
          <w:rFonts w:ascii="Verdana" w:hAnsi="Verdana"/>
          <w:sz w:val="20"/>
          <w:szCs w:val="20"/>
        </w:rPr>
      </w:pPr>
      <w:r>
        <w:rPr>
          <w:rFonts w:eastAsia="Times New Roman" w:ascii="Verdana" w:hAnsi="Verdana"/>
          <w:b/>
          <w:sz w:val="20"/>
          <w:szCs w:val="20"/>
          <w:lang w:eastAsia="ar-SA"/>
        </w:rPr>
        <w:t>CLÁUSULA SEGUNDA – DAS DEFINIÇÕES</w:t>
      </w:r>
    </w:p>
    <w:p>
      <w:pPr>
        <w:pStyle w:val="Normal"/>
        <w:tabs>
          <w:tab w:val="clear" w:pos="708"/>
          <w:tab w:val="left" w:pos="284" w:leader="none"/>
        </w:tabs>
        <w:spacing w:lineRule="auto" w:line="276" w:before="57" w:after="57"/>
        <w:jc w:val="both"/>
        <w:rPr>
          <w:rFonts w:ascii="Verdana" w:hAnsi="Verdana"/>
          <w:sz w:val="20"/>
          <w:szCs w:val="20"/>
        </w:rPr>
      </w:pPr>
      <w:r>
        <w:rPr>
          <w:rFonts w:eastAsia="Times New Roman" w:ascii="Verdana" w:hAnsi="Verdana"/>
          <w:b/>
          <w:sz w:val="20"/>
          <w:szCs w:val="20"/>
          <w:lang w:eastAsia="ar-SA"/>
        </w:rPr>
        <w:t xml:space="preserve">2.1 </w:t>
      </w:r>
      <w:r>
        <w:rPr>
          <w:rFonts w:eastAsia="Times New Roman" w:ascii="Verdana" w:hAnsi="Verdana"/>
          <w:sz w:val="20"/>
          <w:szCs w:val="20"/>
          <w:lang w:eastAsia="ar-SA"/>
        </w:rPr>
        <w:t>Para fins da presente contratação, adota-se as seguintes definições:</w:t>
      </w:r>
    </w:p>
    <w:p>
      <w:pPr>
        <w:pStyle w:val="Normal"/>
        <w:numPr>
          <w:ilvl w:val="0"/>
          <w:numId w:val="8"/>
        </w:numPr>
        <w:tabs>
          <w:tab w:val="clear" w:pos="708"/>
          <w:tab w:val="left" w:pos="284" w:leader="none"/>
        </w:tabs>
        <w:spacing w:lineRule="auto" w:line="276" w:before="57" w:after="57"/>
        <w:jc w:val="both"/>
        <w:rPr/>
      </w:pPr>
      <w:r>
        <w:rPr>
          <w:rFonts w:eastAsia="Times New Roman" w:ascii="Verdana" w:hAnsi="Verdana"/>
          <w:sz w:val="20"/>
          <w:szCs w:val="20"/>
          <w:lang w:eastAsia="ar-SA"/>
        </w:rPr>
        <w:t>INSTALAÇÃO: configuração do SOFTWARE às necessidades da CONTRATANTE, com cadastramento e preparação das bases de dados e dos módulos existentes do programa, com acionamento dos comandos e conexões necessários, deixando o SOFTWARE em pleno funcionamento.</w:t>
      </w:r>
    </w:p>
    <w:p>
      <w:pPr>
        <w:pStyle w:val="Normal"/>
        <w:numPr>
          <w:ilvl w:val="0"/>
          <w:numId w:val="8"/>
        </w:numPr>
        <w:tabs>
          <w:tab w:val="clear" w:pos="708"/>
          <w:tab w:val="left" w:pos="284" w:leader="none"/>
        </w:tabs>
        <w:spacing w:lineRule="auto" w:line="276" w:before="57" w:after="57"/>
        <w:jc w:val="both"/>
        <w:rPr/>
      </w:pPr>
      <w:r>
        <w:rPr>
          <w:rFonts w:eastAsia="Times New Roman" w:ascii="Verdana" w:hAnsi="Verdana"/>
          <w:sz w:val="20"/>
          <w:szCs w:val="20"/>
          <w:lang w:eastAsia="ar-SA"/>
        </w:rPr>
        <w:t xml:space="preserve">TREINAMENTO: promoção de atividades a cargo da CONTRATADA, voltadas à capacitação da CONTRATANTE, seus funcionários e/ou prepostos, tornando-os aptos à operação dos sistemas. </w:t>
      </w:r>
    </w:p>
    <w:p>
      <w:pPr>
        <w:pStyle w:val="Normal"/>
        <w:numPr>
          <w:ilvl w:val="0"/>
          <w:numId w:val="8"/>
        </w:numPr>
        <w:tabs>
          <w:tab w:val="clear" w:pos="708"/>
          <w:tab w:val="left" w:pos="284" w:leader="none"/>
        </w:tabs>
        <w:spacing w:lineRule="auto" w:line="276" w:before="57" w:after="57"/>
        <w:jc w:val="both"/>
        <w:rPr/>
      </w:pPr>
      <w:r>
        <w:rPr>
          <w:rFonts w:eastAsia="Times New Roman" w:ascii="Verdana" w:hAnsi="Verdana"/>
          <w:sz w:val="20"/>
          <w:szCs w:val="20"/>
          <w:lang w:eastAsia="ar-SA"/>
        </w:rPr>
        <w:t xml:space="preserve">SUPORTE TÉCNICO: atendimento ordinário, na forma de suporte à distância no formato </w:t>
      </w:r>
      <w:r>
        <w:rPr>
          <w:rFonts w:eastAsia="Times New Roman" w:ascii="Verdana" w:hAnsi="Verdana"/>
          <w:i/>
          <w:iCs/>
          <w:sz w:val="20"/>
          <w:szCs w:val="20"/>
          <w:lang w:eastAsia="ar-SA"/>
        </w:rPr>
        <w:t xml:space="preserve">Help </w:t>
      </w:r>
      <w:r>
        <w:rPr>
          <w:rFonts w:eastAsia="Times New Roman" w:ascii="Verdana" w:hAnsi="Verdana"/>
          <w:sz w:val="20"/>
          <w:szCs w:val="20"/>
          <w:lang w:eastAsia="ar-SA"/>
        </w:rPr>
        <w:t xml:space="preserve">on-line, comunicação por </w:t>
      </w:r>
      <w:r>
        <w:rPr>
          <w:rFonts w:eastAsia="Times New Roman" w:ascii="Verdana" w:hAnsi="Verdana"/>
          <w:i/>
          <w:iCs/>
          <w:sz w:val="20"/>
          <w:szCs w:val="20"/>
          <w:lang w:eastAsia="ar-SA"/>
        </w:rPr>
        <w:t>web-chats,</w:t>
      </w:r>
      <w:r>
        <w:rPr>
          <w:rFonts w:eastAsia="Times New Roman" w:ascii="Verdana" w:hAnsi="Verdana"/>
          <w:sz w:val="20"/>
          <w:szCs w:val="20"/>
          <w:lang w:eastAsia="ar-SA"/>
        </w:rPr>
        <w:t xml:space="preserve"> conexões remotas e troca de arquivos para atendimento aos usuários e no caso da convocação por parte da Caixa de Assistência para realização de atendimento técnico, o tempo máximo de 48 (quarenta e oito) horas para comparecer na sede da Caixa de Assistência do Servidores Públicos Municipais de São Gabriel da Palha. Continuado através de algum canal de mídia designado (telefone, e-mail ou conexão remota), com a finalidade de acompanhar o sistema, bem como esclarecer e solucionar dúvidas e problemas de operação do SOFTWARE, a ser prestado em dias úteis, no horário de expediente da Caixa de Assistência. </w:t>
      </w:r>
    </w:p>
    <w:p>
      <w:pPr>
        <w:pStyle w:val="Normal"/>
        <w:numPr>
          <w:ilvl w:val="0"/>
          <w:numId w:val="8"/>
        </w:numPr>
        <w:tabs>
          <w:tab w:val="clear" w:pos="708"/>
          <w:tab w:val="left" w:pos="284" w:leader="none"/>
        </w:tabs>
        <w:spacing w:lineRule="auto" w:line="276" w:before="57" w:after="57"/>
        <w:jc w:val="both"/>
        <w:rPr/>
      </w:pPr>
      <w:r>
        <w:rPr>
          <w:rFonts w:eastAsia="Times New Roman" w:ascii="Verdana" w:hAnsi="Verdana"/>
          <w:sz w:val="20"/>
          <w:szCs w:val="20"/>
          <w:lang w:eastAsia="ar-SA"/>
        </w:rPr>
        <w:t>MANUTENÇÃO: adoção por parte da CONTRATADA, por meio do seu suporte técnico, de medidas e ações tendentes à correção, solução, esclarecimento de dúvidas, e demais problemas na execução do SOFTWARE, podendo a CONTRATADA, a seu critério, proceder a substituição da cópia que apresentarem problemas por outra devidamente corrigida.</w:t>
      </w:r>
    </w:p>
    <w:p>
      <w:pPr>
        <w:pStyle w:val="Normal"/>
        <w:numPr>
          <w:ilvl w:val="0"/>
          <w:numId w:val="8"/>
        </w:numPr>
        <w:tabs>
          <w:tab w:val="clear" w:pos="708"/>
          <w:tab w:val="left" w:pos="284" w:leader="none"/>
        </w:tabs>
        <w:spacing w:lineRule="auto" w:line="276" w:before="57" w:after="57"/>
        <w:jc w:val="both"/>
        <w:rPr>
          <w:rFonts w:ascii="Verdana" w:hAnsi="Verdana"/>
          <w:sz w:val="20"/>
          <w:szCs w:val="20"/>
        </w:rPr>
      </w:pPr>
      <w:r>
        <w:rPr>
          <w:rFonts w:eastAsia="Times New Roman" w:ascii="Verdana" w:hAnsi="Verdana"/>
          <w:sz w:val="20"/>
          <w:szCs w:val="20"/>
          <w:lang w:eastAsia="ar-SA"/>
        </w:rPr>
        <w:t>ATUALIZAÇÃO: manter atualizadas as funções existentes nos módulos do SISTEMA, com relação às variáveis normalmente alteradas por legislação, ou quaisquer outras causas externas que decorram de determinação governamental, desde que, em tempo hábil, a CONTRATANTE comunique formalmente, à CONTRATADA, da necessidade de tais atualizações, assim como envie à mesma a legislação que servirá de base às atualizações pela CONTRATANTE eventualmente solicitadas.</w:t>
      </w:r>
    </w:p>
    <w:p>
      <w:pPr>
        <w:pStyle w:val="Normal"/>
        <w:numPr>
          <w:ilvl w:val="0"/>
          <w:numId w:val="8"/>
        </w:numPr>
        <w:tabs>
          <w:tab w:val="clear" w:pos="708"/>
          <w:tab w:val="left" w:pos="284" w:leader="none"/>
        </w:tabs>
        <w:spacing w:lineRule="auto" w:line="276" w:before="57" w:after="57"/>
        <w:jc w:val="both"/>
        <w:rPr>
          <w:rFonts w:ascii="Verdana" w:hAnsi="Verdana"/>
          <w:sz w:val="20"/>
          <w:szCs w:val="20"/>
        </w:rPr>
      </w:pPr>
      <w:r>
        <w:rPr>
          <w:rFonts w:eastAsia="Times New Roman" w:ascii="Verdana" w:hAnsi="Verdana"/>
          <w:sz w:val="20"/>
          <w:szCs w:val="20"/>
          <w:lang w:eastAsia="ar-SA"/>
        </w:rPr>
        <w:t>CUSTOMIZAÇÃO: adaptação do sistema às peculiaridades da CONTRATANTE.</w:t>
      </w:r>
    </w:p>
    <w:p>
      <w:pPr>
        <w:pStyle w:val="Normal"/>
        <w:spacing w:lineRule="auto" w:line="276" w:before="57" w:after="57"/>
        <w:jc w:val="both"/>
        <w:rPr>
          <w:rFonts w:ascii="Verdana" w:hAnsi="Verdana"/>
          <w:sz w:val="20"/>
          <w:szCs w:val="20"/>
        </w:rPr>
      </w:pPr>
      <w:r>
        <w:rPr>
          <w:rFonts w:ascii="Verdana" w:hAnsi="Verdana"/>
          <w:b/>
          <w:sz w:val="20"/>
          <w:szCs w:val="20"/>
          <w:lang w:eastAsia="ar-SA"/>
        </w:rPr>
        <w:t xml:space="preserve">2.2 </w:t>
      </w:r>
      <w:r>
        <w:rPr>
          <w:rFonts w:ascii="Verdana" w:hAnsi="Verdana"/>
          <w:sz w:val="20"/>
          <w:szCs w:val="20"/>
          <w:lang w:eastAsia="ar-SA"/>
        </w:rPr>
        <w:t>Pela manutenção/atualização ora contratadas, obriga-se ainda a CONTRATADA a manter o “SISTEMA” tecnicamente atualizado, fornecendo as novas versões que venham a ser liberadas, desde que contenham alterações, acréscimos de rotina ou melhoria de desempenho. Todas as versões liberadas pela CONTRATADA, mencionadas acima, serão colocadas à disposição da CONTRATANTE sem ônus adicional.</w:t>
      </w:r>
    </w:p>
    <w:p>
      <w:pPr>
        <w:pStyle w:val="Normal"/>
        <w:spacing w:lineRule="auto" w:line="276" w:before="57" w:after="57"/>
        <w:jc w:val="both"/>
        <w:rPr>
          <w:rFonts w:ascii="Verdana" w:hAnsi="Verdana"/>
          <w:sz w:val="20"/>
          <w:szCs w:val="20"/>
        </w:rPr>
      </w:pPr>
      <w:r>
        <w:rPr>
          <w:rFonts w:eastAsia="Times New Roman" w:ascii="Verdana" w:hAnsi="Verdana"/>
          <w:b/>
          <w:sz w:val="20"/>
          <w:szCs w:val="20"/>
          <w:lang w:eastAsia="ar-SA"/>
        </w:rPr>
        <w:t xml:space="preserve">2.3 </w:t>
      </w:r>
      <w:r>
        <w:rPr>
          <w:rFonts w:eastAsia="Times New Roman" w:ascii="Verdana" w:hAnsi="Verdana"/>
          <w:sz w:val="20"/>
          <w:szCs w:val="20"/>
          <w:lang w:eastAsia="ar-SA"/>
        </w:rPr>
        <w:t xml:space="preserve">A interpretação das normas legais aplicáveis à Administração Pública, editadas durante o prazo de vigência da presente contratação, a serem implementadas no “SISTEMA”, serão levadas a efeito com base no entendimento majoritário dos usuários da CONTRATADA, doutrina e jurisprudência pátria. Em caso de exiguidade de tempo para implementação das modificações de natureza legal, decorrente do curto espaço de tempo entre a publicação da norma e a sua entrada em vigor, a CONTRATADA indicará as soluções alternativas para atender, temporariamente, às exigências da nova Lei, até que os módulos possam ser atualizados definitivamente.  </w:t>
      </w:r>
    </w:p>
    <w:p>
      <w:pPr>
        <w:pStyle w:val="Normal"/>
        <w:spacing w:lineRule="auto" w:line="276" w:before="57" w:after="57"/>
        <w:jc w:val="both"/>
        <w:rPr>
          <w:rFonts w:ascii="Verdana" w:hAnsi="Verdana"/>
          <w:sz w:val="20"/>
          <w:szCs w:val="20"/>
        </w:rPr>
      </w:pPr>
      <w:r>
        <w:rPr>
          <w:rFonts w:ascii="Verdana" w:hAnsi="Verdana"/>
          <w:b/>
          <w:sz w:val="20"/>
          <w:szCs w:val="20"/>
          <w:lang w:eastAsia="ar-SA"/>
        </w:rPr>
        <w:t xml:space="preserve">2.4 </w:t>
      </w:r>
      <w:r>
        <w:rPr>
          <w:rFonts w:ascii="Verdana" w:hAnsi="Verdana"/>
          <w:sz w:val="20"/>
          <w:szCs w:val="20"/>
          <w:lang w:eastAsia="ar-SA"/>
        </w:rPr>
        <w:t>Todas alterações e/ou customizações do sistema, sugeridas pela CONTRATANTE, passarão a ser de propriedade exclusiva da CONTRATADA, caso venham a ser implementadas.</w:t>
      </w:r>
    </w:p>
    <w:p>
      <w:pPr>
        <w:pStyle w:val="Normal"/>
        <w:spacing w:lineRule="auto" w:line="276" w:before="57" w:after="57"/>
        <w:jc w:val="both"/>
        <w:rPr>
          <w:rFonts w:ascii="Verdana" w:hAnsi="Verdana"/>
          <w:b/>
          <w:sz w:val="20"/>
          <w:szCs w:val="20"/>
          <w:lang w:eastAsia="ar-SA"/>
        </w:rPr>
      </w:pPr>
      <w:r>
        <w:rPr>
          <w:rFonts w:ascii="Verdana" w:hAnsi="Verdana"/>
          <w:b/>
          <w:sz w:val="20"/>
          <w:szCs w:val="20"/>
          <w:lang w:eastAsia="ar-SA"/>
        </w:rPr>
      </w:r>
    </w:p>
    <w:p>
      <w:pPr>
        <w:pStyle w:val="Normal"/>
        <w:spacing w:lineRule="auto" w:line="276" w:before="57" w:after="57"/>
        <w:jc w:val="both"/>
        <w:rPr>
          <w:rFonts w:ascii="Verdana" w:hAnsi="Verdana"/>
          <w:sz w:val="20"/>
          <w:szCs w:val="20"/>
        </w:rPr>
      </w:pPr>
      <w:r>
        <w:rPr>
          <w:rFonts w:ascii="Verdana" w:hAnsi="Verdana"/>
          <w:b/>
          <w:sz w:val="20"/>
          <w:szCs w:val="20"/>
          <w:lang w:eastAsia="ar-SA"/>
        </w:rPr>
        <w:t>CLÁUSULA TERCEIRA – DO TREINAMENTO</w:t>
      </w:r>
    </w:p>
    <w:p>
      <w:pPr>
        <w:pStyle w:val="Normal"/>
        <w:spacing w:lineRule="auto" w:line="276" w:before="57" w:after="57"/>
        <w:jc w:val="both"/>
        <w:rPr>
          <w:rFonts w:ascii="Verdana" w:hAnsi="Verdana"/>
          <w:sz w:val="20"/>
          <w:szCs w:val="20"/>
        </w:rPr>
      </w:pPr>
      <w:r>
        <w:rPr>
          <w:rFonts w:ascii="Verdana" w:hAnsi="Verdana"/>
          <w:b/>
          <w:sz w:val="20"/>
          <w:szCs w:val="20"/>
          <w:lang w:eastAsia="ar-SA"/>
        </w:rPr>
        <w:t xml:space="preserve">3.1 </w:t>
      </w:r>
      <w:r>
        <w:rPr>
          <w:rFonts w:ascii="Verdana" w:hAnsi="Verdana"/>
          <w:sz w:val="20"/>
          <w:szCs w:val="20"/>
          <w:lang w:eastAsia="ar-SA"/>
        </w:rPr>
        <w:t xml:space="preserve">Compromete-se a CONTRATADA a fornecer aos servidores previamente designados pela CONTRATANTE, treinamento adequado e necessário ao bom funcionamento e operação dos sistemas. </w:t>
      </w:r>
    </w:p>
    <w:p>
      <w:pPr>
        <w:pStyle w:val="Normal"/>
        <w:spacing w:lineRule="auto" w:line="276" w:before="57" w:after="57"/>
        <w:jc w:val="both"/>
        <w:rPr>
          <w:rFonts w:ascii="Verdana" w:hAnsi="Verdana"/>
          <w:sz w:val="20"/>
          <w:szCs w:val="20"/>
        </w:rPr>
      </w:pPr>
      <w:r>
        <w:rPr>
          <w:rFonts w:ascii="Verdana" w:hAnsi="Verdana"/>
          <w:b/>
          <w:bCs/>
          <w:sz w:val="20"/>
          <w:szCs w:val="20"/>
          <w:lang w:eastAsia="ar-SA"/>
        </w:rPr>
        <w:t>3.2</w:t>
      </w:r>
      <w:r>
        <w:rPr>
          <w:rFonts w:ascii="Verdana" w:hAnsi="Verdana"/>
          <w:sz w:val="20"/>
          <w:szCs w:val="20"/>
          <w:lang w:eastAsia="ar-SA"/>
        </w:rPr>
        <w:t xml:space="preserve"> A CONTRATANTE se compromete a disponibilizar, sempre que solicitado pela CONTRATADA, pessoal do seu quadro de servidores e funcionários, habilitados e afeiçoados com as rotinas da áreas de informática que estarão a frente da operação diária do sistema. </w:t>
      </w:r>
    </w:p>
    <w:p>
      <w:pPr>
        <w:pStyle w:val="Normal"/>
        <w:spacing w:lineRule="auto" w:line="276" w:before="57" w:after="57"/>
        <w:jc w:val="both"/>
        <w:rPr>
          <w:rFonts w:ascii="Verdana" w:hAnsi="Verdana"/>
          <w:sz w:val="20"/>
          <w:szCs w:val="20"/>
        </w:rPr>
      </w:pPr>
      <w:r>
        <w:rPr>
          <w:rFonts w:ascii="Verdana" w:hAnsi="Verdana"/>
          <w:b/>
          <w:sz w:val="20"/>
          <w:szCs w:val="20"/>
          <w:lang w:eastAsia="ar-SA"/>
        </w:rPr>
        <w:t xml:space="preserve">3.3 </w:t>
      </w:r>
      <w:r>
        <w:rPr>
          <w:rFonts w:ascii="Verdana" w:hAnsi="Verdana"/>
          <w:sz w:val="20"/>
          <w:szCs w:val="20"/>
          <w:lang w:eastAsia="ar-SA"/>
        </w:rPr>
        <w:t xml:space="preserve">O local e data do treinamento de que trata esta cláusula será estabelecido pela CONTRATADA, de comum acordo com a CONTRATANTE.   </w:t>
      </w:r>
    </w:p>
    <w:p>
      <w:pPr>
        <w:pStyle w:val="Normal"/>
        <w:spacing w:lineRule="auto" w:line="276" w:before="57" w:after="57"/>
        <w:jc w:val="both"/>
        <w:rPr>
          <w:rFonts w:ascii="Verdana" w:hAnsi="Verdana"/>
          <w:sz w:val="20"/>
          <w:szCs w:val="20"/>
        </w:rPr>
      </w:pPr>
      <w:r>
        <w:rPr>
          <w:rFonts w:ascii="Verdana" w:hAnsi="Verdana"/>
          <w:b/>
          <w:sz w:val="20"/>
          <w:szCs w:val="20"/>
          <w:lang w:eastAsia="ar-SA"/>
        </w:rPr>
        <w:t xml:space="preserve">3.4 </w:t>
      </w:r>
      <w:r>
        <w:rPr>
          <w:rFonts w:ascii="Verdana" w:hAnsi="Verdana"/>
          <w:sz w:val="20"/>
          <w:szCs w:val="20"/>
          <w:lang w:eastAsia="ar-SA"/>
        </w:rPr>
        <w:t>Se durante o treinamento, a critério da CONTRATADA, verificar-se o aproveitamento insatisfatório de qualquer dos servidores ou funcionários da CONTRATANTE para o manuseio e operação dos sistemas, tal fato será comunicado a CONTRATANTE que deverá providenciar a substituição do servidor, no prazo máximo de 48 (quarenta e oito) horas da respectiva comunicação.</w:t>
      </w:r>
    </w:p>
    <w:p>
      <w:pPr>
        <w:pStyle w:val="Normal"/>
        <w:spacing w:lineRule="auto" w:line="276" w:before="57" w:after="57"/>
        <w:jc w:val="both"/>
        <w:rPr>
          <w:rFonts w:ascii="Verdana" w:hAnsi="Verdana"/>
          <w:b/>
          <w:sz w:val="20"/>
          <w:szCs w:val="20"/>
          <w:lang w:eastAsia="ar-SA"/>
        </w:rPr>
      </w:pPr>
      <w:r>
        <w:rPr>
          <w:rFonts w:ascii="Verdana" w:hAnsi="Verdana"/>
          <w:b/>
          <w:sz w:val="20"/>
          <w:szCs w:val="20"/>
          <w:lang w:eastAsia="ar-SA"/>
        </w:rPr>
      </w:r>
    </w:p>
    <w:p>
      <w:pPr>
        <w:pStyle w:val="Normal"/>
        <w:spacing w:lineRule="auto" w:line="276" w:before="57" w:after="57"/>
        <w:jc w:val="both"/>
        <w:rPr>
          <w:rFonts w:ascii="Verdana" w:hAnsi="Verdana"/>
          <w:sz w:val="20"/>
          <w:szCs w:val="20"/>
        </w:rPr>
      </w:pPr>
      <w:r>
        <w:rPr>
          <w:rFonts w:ascii="Verdana" w:hAnsi="Verdana"/>
          <w:b/>
          <w:sz w:val="20"/>
          <w:szCs w:val="20"/>
          <w:lang w:eastAsia="ar-SA"/>
        </w:rPr>
        <w:t>CLÁUSULA QUARTA – DO SUPORTE TÉCNICO</w:t>
      </w:r>
    </w:p>
    <w:p>
      <w:pPr>
        <w:pStyle w:val="Normal"/>
        <w:spacing w:lineRule="auto" w:line="276" w:before="57" w:after="57"/>
        <w:jc w:val="both"/>
        <w:rPr>
          <w:rFonts w:ascii="Verdana" w:hAnsi="Verdana"/>
          <w:sz w:val="20"/>
          <w:szCs w:val="20"/>
        </w:rPr>
      </w:pPr>
      <w:r>
        <w:rPr>
          <w:rFonts w:ascii="Verdana" w:hAnsi="Verdana"/>
          <w:b/>
          <w:sz w:val="20"/>
          <w:szCs w:val="20"/>
          <w:lang w:eastAsia="ar-SA"/>
        </w:rPr>
        <w:t xml:space="preserve">4.1 </w:t>
      </w:r>
      <w:r>
        <w:rPr>
          <w:rFonts w:ascii="Verdana" w:hAnsi="Verdana"/>
          <w:sz w:val="20"/>
          <w:szCs w:val="20"/>
          <w:lang w:eastAsia="ar-SA"/>
        </w:rPr>
        <w:t>Para fins da prestação do serviço de SUPORTE TÉCNICO, conforme estabelecido na alínea “c”, da cláusula segunda deste contrato, as partes se comprometem a:</w:t>
      </w:r>
    </w:p>
    <w:p>
      <w:pPr>
        <w:pStyle w:val="Normal"/>
        <w:spacing w:lineRule="auto" w:line="276" w:before="57" w:after="57"/>
        <w:jc w:val="both"/>
        <w:rPr>
          <w:rFonts w:ascii="Verdana" w:hAnsi="Verdana"/>
          <w:sz w:val="20"/>
          <w:szCs w:val="20"/>
        </w:rPr>
      </w:pPr>
      <w:r>
        <w:rPr>
          <w:rFonts w:ascii="Verdana" w:hAnsi="Verdana"/>
          <w:b/>
          <w:sz w:val="20"/>
          <w:szCs w:val="20"/>
          <w:lang w:eastAsia="ar-SA"/>
        </w:rPr>
        <w:t>4.1.1 A Contratante:</w:t>
      </w:r>
    </w:p>
    <w:p>
      <w:pPr>
        <w:pStyle w:val="Normal"/>
        <w:spacing w:lineRule="auto" w:line="276" w:before="57" w:after="57"/>
        <w:jc w:val="both"/>
        <w:rPr>
          <w:rFonts w:ascii="Verdana" w:hAnsi="Verdana"/>
          <w:sz w:val="20"/>
          <w:szCs w:val="20"/>
        </w:rPr>
      </w:pPr>
      <w:r>
        <w:rPr>
          <w:rFonts w:ascii="Verdana" w:hAnsi="Verdana"/>
          <w:b/>
          <w:sz w:val="20"/>
          <w:szCs w:val="20"/>
          <w:lang w:eastAsia="ar-SA"/>
        </w:rPr>
        <w:t>a)</w:t>
      </w:r>
      <w:r>
        <w:rPr>
          <w:rFonts w:ascii="Verdana" w:hAnsi="Verdana"/>
          <w:sz w:val="20"/>
          <w:szCs w:val="20"/>
          <w:lang w:eastAsia="ar-SA"/>
        </w:rPr>
        <w:t xml:space="preserve"> consultar a CONTRATADA somente através das pessoas que foram treinadas para a utilização do sistema;</w:t>
      </w:r>
    </w:p>
    <w:p>
      <w:pPr>
        <w:pStyle w:val="Normal"/>
        <w:spacing w:lineRule="auto" w:line="276" w:before="57" w:after="57"/>
        <w:jc w:val="both"/>
        <w:rPr>
          <w:rFonts w:ascii="Verdana" w:hAnsi="Verdana"/>
          <w:sz w:val="20"/>
          <w:szCs w:val="20"/>
        </w:rPr>
      </w:pPr>
      <w:r>
        <w:rPr>
          <w:rFonts w:eastAsia="Times New Roman" w:ascii="Verdana" w:hAnsi="Verdana"/>
          <w:b/>
          <w:sz w:val="20"/>
          <w:szCs w:val="20"/>
          <w:lang w:eastAsia="ar-SA"/>
        </w:rPr>
        <w:t>b)</w:t>
      </w:r>
      <w:r>
        <w:rPr>
          <w:rFonts w:eastAsia="Times New Roman" w:ascii="Verdana" w:hAnsi="Verdana"/>
          <w:sz w:val="20"/>
          <w:szCs w:val="20"/>
          <w:lang w:eastAsia="ar-SA"/>
        </w:rPr>
        <w:t xml:space="preserve"> enviar à CONTRATADA solicitação, por escrito ou através dos meios estabelecidos, com detalhes e precisão, descrevendo os problemas ou pendências relativas ao software, bem como identificando os programas envolvidos;</w:t>
      </w:r>
    </w:p>
    <w:p>
      <w:pPr>
        <w:pStyle w:val="Normal"/>
        <w:spacing w:lineRule="auto" w:line="276" w:before="57" w:after="57"/>
        <w:jc w:val="both"/>
        <w:rPr>
          <w:rFonts w:ascii="Verdana" w:hAnsi="Verdana"/>
          <w:sz w:val="20"/>
          <w:szCs w:val="20"/>
        </w:rPr>
      </w:pPr>
      <w:r>
        <w:rPr>
          <w:rFonts w:eastAsia="Times New Roman" w:ascii="Verdana" w:hAnsi="Verdana"/>
          <w:b/>
          <w:sz w:val="20"/>
          <w:szCs w:val="20"/>
          <w:lang w:eastAsia="ar-SA"/>
        </w:rPr>
        <w:t>c)</w:t>
      </w:r>
      <w:r>
        <w:rPr>
          <w:rFonts w:eastAsia="Times New Roman" w:ascii="Verdana" w:hAnsi="Verdana"/>
          <w:sz w:val="20"/>
          <w:szCs w:val="20"/>
          <w:lang w:eastAsia="ar-SA"/>
        </w:rPr>
        <w:t xml:space="preserve"> disponibilizar os recursos materiais e humanos necessários à instalação do sistema licenciado, ceder instalações e equipamentos e cooperar efetivamente com a operação de instalação desenvolvida, dentro do seu horário de expediente, nos dias e horários previamente agendados entre as partes;</w:t>
      </w:r>
    </w:p>
    <w:p>
      <w:pPr>
        <w:pStyle w:val="Normal"/>
        <w:spacing w:lineRule="auto" w:line="276" w:before="57" w:after="57"/>
        <w:jc w:val="both"/>
        <w:rPr>
          <w:rFonts w:ascii="Verdana" w:hAnsi="Verdana"/>
          <w:sz w:val="20"/>
          <w:szCs w:val="20"/>
        </w:rPr>
      </w:pPr>
      <w:r>
        <w:rPr>
          <w:rFonts w:ascii="Verdana" w:hAnsi="Verdana"/>
          <w:b/>
          <w:sz w:val="20"/>
          <w:szCs w:val="20"/>
          <w:lang w:eastAsia="ar-SA"/>
        </w:rPr>
        <w:t>d)</w:t>
      </w:r>
      <w:r>
        <w:rPr>
          <w:rFonts w:ascii="Verdana" w:hAnsi="Verdana"/>
          <w:sz w:val="20"/>
          <w:szCs w:val="20"/>
          <w:lang w:eastAsia="ar-SA"/>
        </w:rPr>
        <w:t xml:space="preserve"> manter pessoal habilitado e adequadamente treinado para a operação do sistema e para a comunicação com a CONTRATADA, e prover, sempre que ocorrerem quaisquer problemas com o SISTEMA, toda a documentação, relatórios e demais informações que relatem as circunstâncias em que os problemas ocorreram, objetivando facilitar e agilizar os trabalhos. </w:t>
      </w:r>
    </w:p>
    <w:p>
      <w:pPr>
        <w:pStyle w:val="Normal"/>
        <w:spacing w:lineRule="auto" w:line="276" w:before="57" w:after="57"/>
        <w:jc w:val="both"/>
        <w:rPr>
          <w:rFonts w:ascii="Verdana" w:hAnsi="Verdana"/>
          <w:sz w:val="20"/>
          <w:szCs w:val="20"/>
        </w:rPr>
      </w:pPr>
      <w:r>
        <w:rPr>
          <w:rFonts w:ascii="Verdana" w:hAnsi="Verdana"/>
          <w:b/>
          <w:sz w:val="20"/>
          <w:szCs w:val="20"/>
          <w:lang w:eastAsia="ar-SA"/>
        </w:rPr>
        <w:t>4.1.2 A Contratada:</w:t>
      </w:r>
    </w:p>
    <w:p>
      <w:pPr>
        <w:pStyle w:val="Normal"/>
        <w:tabs>
          <w:tab w:val="clear" w:pos="708"/>
          <w:tab w:val="left" w:pos="567" w:leader="none"/>
        </w:tabs>
        <w:spacing w:lineRule="auto" w:line="276" w:before="57" w:after="57"/>
        <w:jc w:val="both"/>
        <w:rPr>
          <w:rFonts w:ascii="Verdana" w:hAnsi="Verdana"/>
          <w:sz w:val="20"/>
          <w:szCs w:val="20"/>
        </w:rPr>
      </w:pPr>
      <w:r>
        <w:rPr>
          <w:rFonts w:eastAsia="Times New Roman" w:ascii="Verdana" w:hAnsi="Verdana"/>
          <w:b/>
          <w:sz w:val="20"/>
          <w:szCs w:val="20"/>
          <w:lang w:eastAsia="ar-SA"/>
        </w:rPr>
        <w:t>a)</w:t>
      </w:r>
      <w:r>
        <w:rPr>
          <w:rFonts w:eastAsia="Times New Roman" w:ascii="Verdana" w:hAnsi="Verdana"/>
          <w:sz w:val="20"/>
          <w:szCs w:val="20"/>
          <w:lang w:eastAsia="ar-SA"/>
        </w:rPr>
        <w:t xml:space="preserve"> fornecer o sistema acompanhado de um manual on-line e instalado, pela CONTRATADA ou por terceiro devidamente credenciado, na plataforma de hardware/software requerida;</w:t>
      </w:r>
    </w:p>
    <w:p>
      <w:pPr>
        <w:pStyle w:val="Normal"/>
        <w:tabs>
          <w:tab w:val="clear" w:pos="708"/>
          <w:tab w:val="left" w:pos="567" w:leader="none"/>
        </w:tabs>
        <w:spacing w:lineRule="auto" w:line="276" w:before="57" w:after="57"/>
        <w:jc w:val="both"/>
        <w:rPr>
          <w:rFonts w:ascii="Verdana" w:hAnsi="Verdana"/>
          <w:sz w:val="20"/>
          <w:szCs w:val="20"/>
        </w:rPr>
      </w:pPr>
      <w:r>
        <w:rPr>
          <w:rFonts w:eastAsia="Times New Roman" w:ascii="Verdana" w:hAnsi="Verdana"/>
          <w:b/>
          <w:sz w:val="20"/>
          <w:szCs w:val="20"/>
          <w:lang w:eastAsia="ar-SA"/>
        </w:rPr>
        <w:t>b)</w:t>
      </w:r>
      <w:r>
        <w:rPr>
          <w:rFonts w:eastAsia="Times New Roman" w:ascii="Verdana" w:hAnsi="Verdana"/>
          <w:sz w:val="20"/>
          <w:szCs w:val="20"/>
          <w:lang w:eastAsia="ar-SA"/>
        </w:rPr>
        <w:t xml:space="preserve"> tomar as medidas corretivas cabíveis, desde que possíveis, tão logo seja notificada por escrito, de algum problema constatado no software;</w:t>
      </w:r>
    </w:p>
    <w:p>
      <w:pPr>
        <w:pStyle w:val="Normal"/>
        <w:spacing w:lineRule="auto" w:line="276" w:before="57" w:after="57"/>
        <w:jc w:val="both"/>
        <w:rPr>
          <w:rFonts w:ascii="Verdana" w:hAnsi="Verdana"/>
          <w:sz w:val="20"/>
          <w:szCs w:val="20"/>
        </w:rPr>
      </w:pPr>
      <w:r>
        <w:rPr>
          <w:rFonts w:ascii="Verdana" w:hAnsi="Verdana"/>
          <w:b/>
          <w:sz w:val="20"/>
          <w:szCs w:val="20"/>
          <w:lang w:eastAsia="ar-SA"/>
        </w:rPr>
        <w:t>c)</w:t>
      </w:r>
      <w:r>
        <w:rPr>
          <w:rFonts w:ascii="Verdana" w:hAnsi="Verdana"/>
          <w:sz w:val="20"/>
          <w:szCs w:val="20"/>
          <w:lang w:eastAsia="ar-SA"/>
        </w:rPr>
        <w:t xml:space="preserve"> manter total sigilo das informações constantes dos arquivos da CONTRATANTE, caso, eventualmente, seja necessário, disponibilizá-lo para a solução das pendências e/ou problemas verificados; </w:t>
      </w:r>
    </w:p>
    <w:p>
      <w:pPr>
        <w:pStyle w:val="Normal"/>
        <w:tabs>
          <w:tab w:val="clear" w:pos="708"/>
          <w:tab w:val="left" w:pos="567" w:leader="none"/>
        </w:tabs>
        <w:spacing w:lineRule="auto" w:line="276" w:before="57" w:after="57"/>
        <w:jc w:val="both"/>
        <w:rPr>
          <w:rFonts w:ascii="Verdana" w:hAnsi="Verdana"/>
          <w:sz w:val="20"/>
          <w:szCs w:val="20"/>
        </w:rPr>
      </w:pPr>
      <w:r>
        <w:rPr>
          <w:rFonts w:eastAsia="Times New Roman" w:ascii="Verdana" w:hAnsi="Verdana"/>
          <w:b/>
          <w:sz w:val="20"/>
          <w:szCs w:val="20"/>
          <w:lang w:eastAsia="ar-SA"/>
        </w:rPr>
        <w:t>d)</w:t>
      </w:r>
      <w:r>
        <w:rPr>
          <w:rFonts w:eastAsia="Times New Roman" w:ascii="Verdana" w:hAnsi="Verdana"/>
          <w:sz w:val="20"/>
          <w:szCs w:val="20"/>
          <w:lang w:eastAsia="ar-SA"/>
        </w:rPr>
        <w:t xml:space="preserve"> permitir a execução de cópias dos arquivos fornecidos nos meios magnéticos originais do produto contratado, para fins de </w:t>
      </w:r>
      <w:r>
        <w:rPr>
          <w:rFonts w:eastAsia="Times New Roman" w:ascii="Verdana" w:hAnsi="Verdana"/>
          <w:sz w:val="20"/>
          <w:szCs w:val="20"/>
          <w:u w:val="single"/>
          <w:lang w:eastAsia="ar-SA"/>
        </w:rPr>
        <w:t>segurança</w:t>
      </w:r>
      <w:r>
        <w:rPr>
          <w:rFonts w:eastAsia="Times New Roman" w:ascii="Verdana" w:hAnsi="Verdana"/>
          <w:sz w:val="20"/>
          <w:szCs w:val="20"/>
          <w:lang w:eastAsia="ar-SA"/>
        </w:rPr>
        <w:t xml:space="preserve"> (“backup”), com a finalidade exclusiva de propiciar a recomposição do conteúdo do meio físico original em casos de perda de seus arquivos, na forma do inciso I, do art. 6º, da Lei 9.609/98;</w:t>
      </w:r>
    </w:p>
    <w:p>
      <w:pPr>
        <w:pStyle w:val="Normal"/>
        <w:tabs>
          <w:tab w:val="clear" w:pos="708"/>
          <w:tab w:val="left" w:pos="567" w:leader="none"/>
        </w:tabs>
        <w:spacing w:lineRule="auto" w:line="276" w:before="57" w:after="57"/>
        <w:jc w:val="both"/>
        <w:rPr>
          <w:rFonts w:ascii="Verdana" w:hAnsi="Verdana"/>
          <w:sz w:val="20"/>
          <w:szCs w:val="20"/>
        </w:rPr>
      </w:pPr>
      <w:r>
        <w:rPr>
          <w:rFonts w:eastAsia="Times New Roman" w:ascii="Verdana" w:hAnsi="Verdana"/>
          <w:b/>
          <w:sz w:val="20"/>
          <w:szCs w:val="20"/>
          <w:lang w:eastAsia="ar-SA"/>
        </w:rPr>
        <w:t>e)</w:t>
      </w:r>
      <w:r>
        <w:rPr>
          <w:rFonts w:eastAsia="Times New Roman" w:ascii="Verdana" w:hAnsi="Verdana"/>
          <w:sz w:val="20"/>
          <w:szCs w:val="20"/>
          <w:lang w:eastAsia="ar-SA"/>
        </w:rPr>
        <w:t xml:space="preserve"> fornecer a CONTRATANTE as novas implementações e as correções dos eventuais erros existentes no produto licenciado, entre os quais se definem as incorreções encontradas entre as especificações contidas na documentação dos mesmos e a sua operação;</w:t>
      </w:r>
    </w:p>
    <w:p>
      <w:pPr>
        <w:pStyle w:val="Normal"/>
        <w:tabs>
          <w:tab w:val="clear" w:pos="708"/>
          <w:tab w:val="left" w:pos="567" w:leader="none"/>
        </w:tabs>
        <w:spacing w:lineRule="auto" w:line="276" w:before="57" w:after="57"/>
        <w:jc w:val="both"/>
        <w:rPr>
          <w:rFonts w:ascii="Verdana" w:hAnsi="Verdana"/>
          <w:sz w:val="20"/>
          <w:szCs w:val="20"/>
        </w:rPr>
      </w:pPr>
      <w:r>
        <w:rPr>
          <w:rFonts w:eastAsia="Times New Roman" w:ascii="Verdana" w:hAnsi="Verdana"/>
          <w:b/>
          <w:sz w:val="20"/>
          <w:szCs w:val="20"/>
          <w:lang w:eastAsia="ar-SA"/>
        </w:rPr>
        <w:t>f)</w:t>
      </w:r>
      <w:r>
        <w:rPr>
          <w:rFonts w:eastAsia="Times New Roman" w:ascii="Verdana" w:hAnsi="Verdana"/>
          <w:sz w:val="20"/>
          <w:szCs w:val="20"/>
          <w:lang w:eastAsia="ar-SA"/>
        </w:rPr>
        <w:t xml:space="preserve"> manter em seu quadro de funcionários, técnicos aptos a efetuar a assistência técnica adequada a CONTRATANTE, usuário das versões implantadas e liberadas;</w:t>
      </w:r>
    </w:p>
    <w:p>
      <w:pPr>
        <w:pStyle w:val="Normal"/>
        <w:tabs>
          <w:tab w:val="clear" w:pos="708"/>
          <w:tab w:val="left" w:pos="567" w:leader="none"/>
        </w:tabs>
        <w:spacing w:lineRule="auto" w:line="276" w:before="57" w:after="57"/>
        <w:jc w:val="both"/>
        <w:rPr>
          <w:rFonts w:ascii="Verdana" w:hAnsi="Verdana"/>
          <w:sz w:val="20"/>
          <w:szCs w:val="20"/>
        </w:rPr>
      </w:pPr>
      <w:r>
        <w:rPr>
          <w:rFonts w:eastAsia="Times New Roman" w:ascii="Verdana" w:hAnsi="Verdana"/>
          <w:b/>
          <w:sz w:val="20"/>
          <w:szCs w:val="20"/>
          <w:lang w:eastAsia="ar-SA"/>
        </w:rPr>
        <w:t xml:space="preserve">g) </w:t>
      </w:r>
      <w:r>
        <w:rPr>
          <w:rFonts w:eastAsia="Times New Roman" w:ascii="Verdana" w:hAnsi="Verdana"/>
          <w:sz w:val="20"/>
          <w:szCs w:val="20"/>
          <w:lang w:eastAsia="ar-SA"/>
        </w:rPr>
        <w:t xml:space="preserve">responsabilizar-se, única e exclusivamente, por todo e qualquer pagamento de ordem trabalhista, previdenciária e encargos sociais, decorrente dos seus técnicos na prestação dos serviços, nas dependências do estabelecimento da CONTRATANTE;  </w:t>
      </w:r>
    </w:p>
    <w:p>
      <w:pPr>
        <w:pStyle w:val="Normal"/>
        <w:spacing w:lineRule="auto" w:line="276" w:before="57" w:after="57"/>
        <w:jc w:val="both"/>
        <w:rPr>
          <w:rFonts w:ascii="Verdana" w:hAnsi="Verdana"/>
          <w:sz w:val="20"/>
          <w:szCs w:val="20"/>
        </w:rPr>
      </w:pPr>
      <w:r>
        <w:rPr>
          <w:rFonts w:eastAsia="Times New Roman" w:ascii="Verdana" w:hAnsi="Verdana"/>
          <w:b/>
          <w:sz w:val="20"/>
          <w:szCs w:val="20"/>
          <w:lang w:eastAsia="ar-SA"/>
        </w:rPr>
        <w:t>h)</w:t>
      </w:r>
      <w:r>
        <w:rPr>
          <w:rFonts w:eastAsia="Times New Roman" w:ascii="Verdana" w:hAnsi="Verdana"/>
          <w:sz w:val="20"/>
          <w:szCs w:val="20"/>
          <w:lang w:eastAsia="ar-SA"/>
        </w:rPr>
        <w:t xml:space="preserve"> prestar assistência a CONTRATANTE, solucionando dúvidas na implantação e durante o processamento do sistema. Essa assistência poderá ser por escrito, e-mail, telefone, visita à sede da CONTRATANTE ou na própria sede da CONTRATADA;</w:t>
      </w:r>
    </w:p>
    <w:p>
      <w:pPr>
        <w:pStyle w:val="Normal"/>
        <w:spacing w:lineRule="auto" w:line="276" w:before="57" w:after="57"/>
        <w:jc w:val="both"/>
        <w:rPr>
          <w:rFonts w:ascii="Verdana" w:hAnsi="Verdana"/>
          <w:sz w:val="20"/>
          <w:szCs w:val="20"/>
        </w:rPr>
      </w:pPr>
      <w:r>
        <w:rPr>
          <w:rFonts w:eastAsia="Times New Roman" w:ascii="Verdana" w:hAnsi="Verdana"/>
          <w:b/>
          <w:sz w:val="20"/>
          <w:szCs w:val="20"/>
          <w:lang w:eastAsia="ar-SA"/>
        </w:rPr>
        <w:t>i)</w:t>
      </w:r>
      <w:r>
        <w:rPr>
          <w:rFonts w:eastAsia="Times New Roman" w:ascii="Verdana" w:hAnsi="Verdana"/>
          <w:sz w:val="20"/>
          <w:szCs w:val="20"/>
          <w:lang w:eastAsia="ar-SA"/>
        </w:rPr>
        <w:t xml:space="preserve"> produzir cópias diárias (backup) dos dados nos Sistemas objeto deste contrato;</w:t>
      </w:r>
    </w:p>
    <w:p>
      <w:pPr>
        <w:pStyle w:val="Normal"/>
        <w:spacing w:lineRule="auto" w:line="276" w:before="57" w:after="57"/>
        <w:jc w:val="both"/>
        <w:rPr>
          <w:rFonts w:ascii="Verdana" w:hAnsi="Verdana"/>
          <w:sz w:val="20"/>
          <w:szCs w:val="20"/>
        </w:rPr>
      </w:pPr>
      <w:r>
        <w:rPr>
          <w:rFonts w:eastAsia="Times New Roman" w:ascii="Verdana" w:hAnsi="Verdana"/>
          <w:b/>
          <w:sz w:val="20"/>
          <w:szCs w:val="20"/>
          <w:lang w:eastAsia="ar-SA"/>
        </w:rPr>
        <w:t>j)</w:t>
      </w:r>
      <w:r>
        <w:rPr>
          <w:rFonts w:eastAsia="Times New Roman" w:ascii="Verdana" w:hAnsi="Verdana"/>
          <w:sz w:val="20"/>
          <w:szCs w:val="20"/>
          <w:lang w:eastAsia="ar-SA"/>
        </w:rPr>
        <w:t xml:space="preserve"> reinstalar os sistemas e repor o banco de dados atualizado, em caso de perda de dados ocasionadas por falta de energia, problemas de hardware ou falhas do sistema, sem qualquer custo adicional para a CONTRATANTE;</w:t>
      </w:r>
    </w:p>
    <w:p>
      <w:pPr>
        <w:pStyle w:val="Normal"/>
        <w:spacing w:lineRule="auto" w:line="276" w:before="57" w:after="57"/>
        <w:jc w:val="both"/>
        <w:rPr>
          <w:rFonts w:ascii="Verdana" w:hAnsi="Verdana"/>
          <w:sz w:val="20"/>
          <w:szCs w:val="20"/>
        </w:rPr>
      </w:pPr>
      <w:r>
        <w:rPr>
          <w:rFonts w:eastAsia="Times New Roman" w:ascii="Verdana" w:hAnsi="Verdana"/>
          <w:b/>
          <w:sz w:val="20"/>
          <w:szCs w:val="20"/>
          <w:lang w:eastAsia="ar-SA"/>
        </w:rPr>
        <w:t xml:space="preserve">4.2 </w:t>
      </w:r>
      <w:r>
        <w:rPr>
          <w:rFonts w:eastAsia="Times New Roman" w:ascii="Verdana" w:hAnsi="Verdana"/>
          <w:sz w:val="20"/>
          <w:szCs w:val="20"/>
          <w:lang w:eastAsia="ar-SA"/>
        </w:rPr>
        <w:t>Qualquer atualização à legislação nacional, das variáveis do SOFTWARE licenciado, fica condicionada, única e exclusivamente, às condições estabelecidas para a atualização contratada através do presente instrumento.</w:t>
      </w:r>
    </w:p>
    <w:p>
      <w:pPr>
        <w:pStyle w:val="Normal"/>
        <w:spacing w:lineRule="auto" w:line="276" w:before="57" w:after="57"/>
        <w:ind w:firstLine="708"/>
        <w:jc w:val="both"/>
        <w:rPr>
          <w:rFonts w:ascii="Verdana" w:hAnsi="Verdana" w:eastAsia="Times New Roman"/>
          <w:color w:val="388600"/>
          <w:sz w:val="20"/>
          <w:szCs w:val="20"/>
          <w:lang w:eastAsia="ar-SA"/>
        </w:rPr>
      </w:pPr>
      <w:r>
        <w:rPr>
          <w:rFonts w:eastAsia="Times New Roman" w:ascii="Verdana" w:hAnsi="Verdana"/>
          <w:color w:val="388600"/>
          <w:sz w:val="20"/>
          <w:szCs w:val="20"/>
          <w:lang w:eastAsia="ar-SA"/>
        </w:rPr>
      </w:r>
    </w:p>
    <w:p>
      <w:pPr>
        <w:pStyle w:val="Normal"/>
        <w:spacing w:lineRule="auto" w:line="276" w:before="57" w:after="57"/>
        <w:jc w:val="both"/>
        <w:rPr>
          <w:rFonts w:ascii="Verdana" w:hAnsi="Verdana"/>
          <w:sz w:val="20"/>
          <w:szCs w:val="20"/>
        </w:rPr>
      </w:pPr>
      <w:r>
        <w:rPr>
          <w:rFonts w:eastAsia="Times New Roman" w:ascii="Verdana" w:hAnsi="Verdana"/>
          <w:b/>
          <w:sz w:val="20"/>
          <w:szCs w:val="20"/>
          <w:lang w:eastAsia="ar-SA"/>
        </w:rPr>
        <w:t>CLAUSULA QUINTA – DO VALOR DO CONTRATO</w:t>
      </w:r>
    </w:p>
    <w:p>
      <w:pPr>
        <w:pStyle w:val="Normal"/>
        <w:spacing w:lineRule="auto" w:line="276" w:before="57" w:after="57"/>
        <w:jc w:val="both"/>
        <w:rPr>
          <w:rFonts w:ascii="Verdana" w:hAnsi="Verdana"/>
          <w:sz w:val="20"/>
          <w:szCs w:val="20"/>
        </w:rPr>
      </w:pPr>
      <w:r>
        <w:rPr>
          <w:rFonts w:eastAsia="Times New Roman" w:ascii="Verdana" w:hAnsi="Verdana"/>
          <w:b/>
          <w:sz w:val="20"/>
          <w:szCs w:val="20"/>
          <w:lang w:eastAsia="ar-SA"/>
        </w:rPr>
        <w:t xml:space="preserve">5.1 </w:t>
      </w:r>
      <w:r>
        <w:rPr>
          <w:rFonts w:eastAsia="Times New Roman" w:ascii="Verdana" w:hAnsi="Verdana"/>
          <w:sz w:val="20"/>
          <w:szCs w:val="20"/>
          <w:lang w:eastAsia="ar-SA"/>
        </w:rPr>
        <w:t xml:space="preserve">Pelos serviços objeto do presente contrato, a Contratante pagará a Contratada a importância de R$ xxxxxxxx (xxxxxxxx) pelos serviços de </w:t>
      </w:r>
      <w:r>
        <w:rPr>
          <w:rFonts w:ascii="Verdana" w:hAnsi="Verdana"/>
          <w:sz w:val="20"/>
          <w:szCs w:val="20"/>
        </w:rPr>
        <w:t xml:space="preserve">implantação, instalação, migração, conversão de dados, customização e treinamento de todos os sistemas e R$ xxxxxxx (xxxxxxxxxxx) mensalmente, para os serviços de licença de uso, suporte e manutenção dos sistemas para 12 meses, </w:t>
      </w:r>
      <w:r>
        <w:rPr>
          <w:rFonts w:eastAsia="Times New Roman" w:ascii="Verdana" w:hAnsi="Verdana"/>
          <w:sz w:val="20"/>
          <w:szCs w:val="20"/>
          <w:lang w:eastAsia="ar-SA"/>
        </w:rPr>
        <w:t>perfazendo o valor global de R$ xxxxxxxxx (xxxxxxxxxx).</w:t>
      </w:r>
    </w:p>
    <w:p>
      <w:pPr>
        <w:pStyle w:val="Normal"/>
        <w:rPr/>
      </w:pPr>
      <w:r>
        <w:rPr/>
        <w:t>5.2 A importância a ser paga corresponderá aos seguintes itens e valores:</w:t>
      </w:r>
    </w:p>
    <w:tbl>
      <w:tblPr>
        <w:tblW w:w="9870" w:type="dxa"/>
        <w:jc w:val="left"/>
        <w:tblInd w:w="-170" w:type="dxa"/>
        <w:tblLayout w:type="fixed"/>
        <w:tblCellMar>
          <w:top w:w="55" w:type="dxa"/>
          <w:left w:w="55" w:type="dxa"/>
          <w:bottom w:w="55" w:type="dxa"/>
          <w:right w:w="55" w:type="dxa"/>
        </w:tblCellMar>
      </w:tblPr>
      <w:tblGrid>
        <w:gridCol w:w="675"/>
        <w:gridCol w:w="1140"/>
        <w:gridCol w:w="1140"/>
        <w:gridCol w:w="944"/>
        <w:gridCol w:w="3061"/>
        <w:gridCol w:w="1424"/>
        <w:gridCol w:w="1486"/>
      </w:tblGrid>
      <w:tr>
        <w:trPr>
          <w:trHeight w:val="120" w:hRule="atLeast"/>
        </w:trPr>
        <w:tc>
          <w:tcPr>
            <w:tcW w:w="9870" w:type="dxa"/>
            <w:gridSpan w:val="7"/>
            <w:tcBorders>
              <w:top w:val="single" w:sz="2" w:space="0" w:color="000000"/>
              <w:left w:val="single" w:sz="2" w:space="0" w:color="000000"/>
              <w:bottom w:val="single" w:sz="2" w:space="0" w:color="000000"/>
              <w:right w:val="single" w:sz="2" w:space="0" w:color="000000"/>
            </w:tcBorders>
            <w:vAlign w:val="center"/>
          </w:tcPr>
          <w:p>
            <w:pPr>
              <w:pStyle w:val="Contedodatabela"/>
              <w:widowControl w:val="false"/>
              <w:spacing w:lineRule="auto" w:line="240" w:before="0" w:after="0"/>
              <w:jc w:val="center"/>
              <w:rPr/>
            </w:pPr>
            <w:r>
              <w:rPr>
                <w:rFonts w:ascii="Verdana" w:hAnsi="Verdana"/>
                <w:b/>
                <w:color w:val="000000"/>
                <w:sz w:val="20"/>
                <w:szCs w:val="20"/>
              </w:rPr>
              <w:t>IMPLANTAÇÃO / TREINAMENTO</w:t>
            </w:r>
          </w:p>
        </w:tc>
      </w:tr>
      <w:tr>
        <w:trPr/>
        <w:tc>
          <w:tcPr>
            <w:tcW w:w="675" w:type="dxa"/>
            <w:tcBorders>
              <w:left w:val="single" w:sz="2" w:space="0" w:color="000000"/>
              <w:bottom w:val="single" w:sz="2" w:space="0" w:color="000000"/>
            </w:tcBorders>
            <w:vAlign w:val="center"/>
          </w:tcPr>
          <w:p>
            <w:pPr>
              <w:pStyle w:val="Normal"/>
              <w:widowControl w:val="false"/>
              <w:spacing w:lineRule="auto" w:line="240" w:before="0" w:after="0"/>
              <w:jc w:val="center"/>
              <w:rPr/>
            </w:pPr>
            <w:r>
              <w:rPr>
                <w:rFonts w:cs="Times New Roman" w:ascii="Verdana" w:hAnsi="Verdana"/>
                <w:b/>
                <w:bCs/>
                <w:sz w:val="20"/>
                <w:szCs w:val="20"/>
              </w:rPr>
              <w:t>Item</w:t>
            </w:r>
          </w:p>
        </w:tc>
        <w:tc>
          <w:tcPr>
            <w:tcW w:w="1140" w:type="dxa"/>
            <w:tcBorders>
              <w:left w:val="single" w:sz="2" w:space="0" w:color="000000"/>
              <w:bottom w:val="single" w:sz="2" w:space="0" w:color="000000"/>
            </w:tcBorders>
            <w:vAlign w:val="center"/>
          </w:tcPr>
          <w:p>
            <w:pPr>
              <w:pStyle w:val="Normal"/>
              <w:widowControl w:val="false"/>
              <w:spacing w:lineRule="auto" w:line="240" w:before="0" w:after="0"/>
              <w:jc w:val="center"/>
              <w:rPr/>
            </w:pPr>
            <w:r>
              <w:rPr>
                <w:rFonts w:cs="Times New Roman" w:ascii="Verdana" w:hAnsi="Verdana"/>
                <w:b/>
                <w:bCs/>
                <w:sz w:val="20"/>
                <w:szCs w:val="20"/>
              </w:rPr>
              <w:t>Fonte Pesquisa</w:t>
            </w:r>
          </w:p>
        </w:tc>
        <w:tc>
          <w:tcPr>
            <w:tcW w:w="1140" w:type="dxa"/>
            <w:tcBorders>
              <w:left w:val="single" w:sz="2" w:space="0" w:color="000000"/>
              <w:bottom w:val="single" w:sz="2" w:space="0" w:color="000000"/>
            </w:tcBorders>
            <w:vAlign w:val="center"/>
          </w:tcPr>
          <w:p>
            <w:pPr>
              <w:pStyle w:val="Normal"/>
              <w:widowControl w:val="false"/>
              <w:spacing w:lineRule="auto" w:line="240" w:before="0" w:after="0"/>
              <w:jc w:val="center"/>
              <w:rPr/>
            </w:pPr>
            <w:r>
              <w:rPr>
                <w:rFonts w:cs="Times New Roman" w:ascii="Verdana" w:hAnsi="Verdana"/>
                <w:b/>
                <w:bCs/>
                <w:sz w:val="20"/>
                <w:szCs w:val="20"/>
              </w:rPr>
              <w:t>Quant. Máxima Prevista</w:t>
            </w:r>
          </w:p>
        </w:tc>
        <w:tc>
          <w:tcPr>
            <w:tcW w:w="944" w:type="dxa"/>
            <w:tcBorders>
              <w:left w:val="single" w:sz="2" w:space="0" w:color="000000"/>
              <w:bottom w:val="single" w:sz="2" w:space="0" w:color="000000"/>
            </w:tcBorders>
            <w:vAlign w:val="center"/>
          </w:tcPr>
          <w:p>
            <w:pPr>
              <w:pStyle w:val="Contedodatabela"/>
              <w:widowControl w:val="false"/>
              <w:spacing w:lineRule="auto" w:line="240" w:before="0" w:after="0"/>
              <w:jc w:val="center"/>
              <w:rPr/>
            </w:pPr>
            <w:r>
              <w:rPr>
                <w:rFonts w:ascii="Verdana" w:hAnsi="Verdana"/>
                <w:b/>
                <w:bCs/>
                <w:sz w:val="20"/>
                <w:szCs w:val="20"/>
              </w:rPr>
              <w:t>Unid.</w:t>
            </w:r>
          </w:p>
        </w:tc>
        <w:tc>
          <w:tcPr>
            <w:tcW w:w="3061" w:type="dxa"/>
            <w:tcBorders>
              <w:left w:val="single" w:sz="2" w:space="0" w:color="000000"/>
              <w:bottom w:val="single" w:sz="2" w:space="0" w:color="000000"/>
            </w:tcBorders>
            <w:vAlign w:val="center"/>
          </w:tcPr>
          <w:p>
            <w:pPr>
              <w:pStyle w:val="Contedodatabela"/>
              <w:widowControl w:val="false"/>
              <w:spacing w:lineRule="auto" w:line="240" w:before="0" w:after="0"/>
              <w:jc w:val="center"/>
              <w:rPr/>
            </w:pPr>
            <w:r>
              <w:rPr>
                <w:rFonts w:ascii="Verdana" w:hAnsi="Verdana"/>
                <w:b/>
                <w:bCs/>
                <w:sz w:val="20"/>
                <w:szCs w:val="20"/>
              </w:rPr>
              <w:t>Descrição</w:t>
            </w:r>
          </w:p>
        </w:tc>
        <w:tc>
          <w:tcPr>
            <w:tcW w:w="1424" w:type="dxa"/>
            <w:tcBorders>
              <w:left w:val="single" w:sz="2" w:space="0" w:color="000000"/>
              <w:bottom w:val="single" w:sz="2" w:space="0" w:color="000000"/>
            </w:tcBorders>
            <w:vAlign w:val="center"/>
          </w:tcPr>
          <w:p>
            <w:pPr>
              <w:pStyle w:val="Normal"/>
              <w:widowControl w:val="false"/>
              <w:spacing w:lineRule="auto" w:line="240" w:before="0" w:after="0"/>
              <w:jc w:val="center"/>
              <w:rPr/>
            </w:pPr>
            <w:r>
              <w:rPr>
                <w:rFonts w:cs="Times New Roman" w:ascii="Verdana" w:hAnsi="Verdana"/>
                <w:b/>
                <w:bCs/>
                <w:sz w:val="20"/>
                <w:szCs w:val="20"/>
              </w:rPr>
              <w:t>Valor Unitário Estimado</w:t>
            </w:r>
          </w:p>
        </w:tc>
        <w:tc>
          <w:tcPr>
            <w:tcW w:w="1486" w:type="dxa"/>
            <w:tcBorders>
              <w:left w:val="single" w:sz="2" w:space="0" w:color="000000"/>
              <w:bottom w:val="single" w:sz="2" w:space="0" w:color="000000"/>
              <w:right w:val="single" w:sz="2" w:space="0" w:color="000000"/>
            </w:tcBorders>
            <w:vAlign w:val="center"/>
          </w:tcPr>
          <w:p>
            <w:pPr>
              <w:pStyle w:val="Normal"/>
              <w:widowControl w:val="false"/>
              <w:spacing w:lineRule="auto" w:line="240" w:before="0" w:after="0"/>
              <w:jc w:val="center"/>
              <w:rPr/>
            </w:pPr>
            <w:r>
              <w:rPr>
                <w:rFonts w:cs="Times New Roman" w:ascii="Verdana" w:hAnsi="Verdana"/>
                <w:b/>
                <w:bCs/>
                <w:sz w:val="20"/>
                <w:szCs w:val="20"/>
              </w:rPr>
              <w:t>Valor Total Estimado</w:t>
            </w:r>
          </w:p>
        </w:tc>
      </w:tr>
      <w:tr>
        <w:trPr/>
        <w:tc>
          <w:tcPr>
            <w:tcW w:w="675" w:type="dxa"/>
            <w:tcBorders>
              <w:left w:val="single" w:sz="2" w:space="0" w:color="000000"/>
              <w:bottom w:val="single" w:sz="2" w:space="0" w:color="000000"/>
            </w:tcBorders>
            <w:vAlign w:val="center"/>
          </w:tcPr>
          <w:p>
            <w:pPr>
              <w:pStyle w:val="Contedodatabela"/>
              <w:widowControl w:val="false"/>
              <w:spacing w:lineRule="auto" w:line="240" w:before="0" w:after="0"/>
              <w:jc w:val="center"/>
              <w:rPr/>
            </w:pPr>
            <w:r>
              <w:rPr>
                <w:rFonts w:ascii="Verdana" w:hAnsi="Verdana"/>
                <w:sz w:val="20"/>
                <w:szCs w:val="20"/>
              </w:rPr>
              <w:t>01</w:t>
            </w:r>
          </w:p>
        </w:tc>
        <w:tc>
          <w:tcPr>
            <w:tcW w:w="1140" w:type="dxa"/>
            <w:vMerge w:val="restart"/>
            <w:tcBorders>
              <w:left w:val="single" w:sz="2" w:space="0" w:color="000000"/>
              <w:bottom w:val="single" w:sz="2" w:space="0" w:color="000000"/>
            </w:tcBorders>
            <w:vAlign w:val="center"/>
          </w:tcPr>
          <w:p>
            <w:pPr>
              <w:pStyle w:val="Contedodatabela"/>
              <w:widowControl w:val="false"/>
              <w:bidi w:val="0"/>
              <w:spacing w:lineRule="auto" w:line="240" w:before="0" w:after="0"/>
              <w:ind w:hanging="0" w:left="0" w:right="0"/>
              <w:jc w:val="center"/>
              <w:rPr/>
            </w:pPr>
            <w:r>
              <w:rPr>
                <w:rFonts w:ascii="Verdana" w:hAnsi="Verdana"/>
                <w:sz w:val="20"/>
                <w:szCs w:val="20"/>
              </w:rPr>
              <w:t>PNCP</w:t>
            </w:r>
          </w:p>
        </w:tc>
        <w:tc>
          <w:tcPr>
            <w:tcW w:w="1140" w:type="dxa"/>
            <w:tcBorders>
              <w:left w:val="single" w:sz="2" w:space="0" w:color="000000"/>
              <w:bottom w:val="single" w:sz="2" w:space="0" w:color="000000"/>
            </w:tcBorders>
            <w:vAlign w:val="center"/>
          </w:tcPr>
          <w:p>
            <w:pPr>
              <w:pStyle w:val="Contedodatabela"/>
              <w:widowControl w:val="false"/>
              <w:spacing w:lineRule="auto" w:line="240" w:before="0" w:after="0"/>
              <w:jc w:val="center"/>
              <w:rPr/>
            </w:pPr>
            <w:r>
              <w:rPr>
                <w:rFonts w:ascii="Verdana" w:hAnsi="Verdana"/>
                <w:sz w:val="20"/>
                <w:szCs w:val="20"/>
              </w:rPr>
              <w:t>01</w:t>
            </w:r>
          </w:p>
        </w:tc>
        <w:tc>
          <w:tcPr>
            <w:tcW w:w="944" w:type="dxa"/>
            <w:tcBorders>
              <w:left w:val="single" w:sz="2" w:space="0" w:color="000000"/>
              <w:bottom w:val="single" w:sz="2" w:space="0" w:color="000000"/>
            </w:tcBorders>
            <w:vAlign w:val="center"/>
          </w:tcPr>
          <w:p>
            <w:pPr>
              <w:pStyle w:val="Contedodatabela"/>
              <w:widowControl w:val="false"/>
              <w:spacing w:lineRule="auto" w:line="240" w:before="0" w:after="0"/>
              <w:jc w:val="center"/>
              <w:rPr/>
            </w:pPr>
            <w:r>
              <w:rPr>
                <w:rFonts w:ascii="Verdana" w:hAnsi="Verdana"/>
                <w:sz w:val="20"/>
                <w:szCs w:val="20"/>
              </w:rPr>
              <w:t>Serviço</w:t>
            </w:r>
          </w:p>
        </w:tc>
        <w:tc>
          <w:tcPr>
            <w:tcW w:w="3061" w:type="dxa"/>
            <w:tcBorders>
              <w:left w:val="single" w:sz="2" w:space="0" w:color="000000"/>
              <w:bottom w:val="single" w:sz="2" w:space="0" w:color="000000"/>
            </w:tcBorders>
            <w:vAlign w:val="center"/>
          </w:tcPr>
          <w:p>
            <w:pPr>
              <w:pStyle w:val="Contedodatabela"/>
              <w:widowControl w:val="false"/>
              <w:spacing w:lineRule="auto" w:line="240" w:before="0" w:after="0"/>
              <w:jc w:val="both"/>
              <w:rPr/>
            </w:pPr>
            <w:r>
              <w:rPr>
                <w:rFonts w:ascii="Verdana" w:hAnsi="Verdana"/>
                <w:sz w:val="20"/>
                <w:szCs w:val="20"/>
              </w:rPr>
              <w:t>Implantação, instalação, migração, conversão de dados, customização e treinamento do Sistema Integrado de Compras, Licitações e Contratos</w:t>
            </w:r>
          </w:p>
        </w:tc>
        <w:tc>
          <w:tcPr>
            <w:tcW w:w="1424" w:type="dxa"/>
            <w:tcBorders>
              <w:left w:val="single" w:sz="2" w:space="0" w:color="000000"/>
              <w:bottom w:val="single" w:sz="2" w:space="0" w:color="000000"/>
            </w:tcBorders>
            <w:vAlign w:val="center"/>
          </w:tcPr>
          <w:p>
            <w:pPr>
              <w:pStyle w:val="Contedodatabela"/>
              <w:widowControl w:val="false"/>
              <w:spacing w:lineRule="auto" w:line="240" w:before="0" w:after="0"/>
              <w:jc w:val="center"/>
              <w:rPr>
                <w:rFonts w:ascii="Verdana" w:hAnsi="Verdana"/>
                <w:sz w:val="20"/>
                <w:szCs w:val="20"/>
              </w:rPr>
            </w:pPr>
            <w:r>
              <w:rPr>
                <w:rFonts w:ascii="Verdana" w:hAnsi="Verdana"/>
                <w:sz w:val="20"/>
                <w:szCs w:val="20"/>
              </w:rPr>
            </w:r>
          </w:p>
        </w:tc>
        <w:tc>
          <w:tcPr>
            <w:tcW w:w="1486" w:type="dxa"/>
            <w:tcBorders>
              <w:left w:val="single" w:sz="2" w:space="0" w:color="000000"/>
              <w:bottom w:val="single" w:sz="2" w:space="0" w:color="000000"/>
              <w:right w:val="single" w:sz="2" w:space="0" w:color="000000"/>
            </w:tcBorders>
            <w:vAlign w:val="center"/>
          </w:tcPr>
          <w:p>
            <w:pPr>
              <w:pStyle w:val="Contedodatabela"/>
              <w:widowControl w:val="false"/>
              <w:spacing w:lineRule="auto" w:line="240" w:before="0" w:after="0"/>
              <w:jc w:val="center"/>
              <w:rPr>
                <w:rFonts w:ascii="Verdana" w:hAnsi="Verdana"/>
                <w:sz w:val="20"/>
                <w:szCs w:val="20"/>
              </w:rPr>
            </w:pPr>
            <w:r>
              <w:rPr>
                <w:rFonts w:ascii="Verdana" w:hAnsi="Verdana"/>
                <w:sz w:val="20"/>
                <w:szCs w:val="20"/>
              </w:rPr>
            </w:r>
          </w:p>
        </w:tc>
      </w:tr>
      <w:tr>
        <w:trPr/>
        <w:tc>
          <w:tcPr>
            <w:tcW w:w="675" w:type="dxa"/>
            <w:tcBorders>
              <w:left w:val="single" w:sz="2" w:space="0" w:color="000000"/>
              <w:bottom w:val="single" w:sz="2" w:space="0" w:color="000000"/>
            </w:tcBorders>
            <w:vAlign w:val="center"/>
          </w:tcPr>
          <w:p>
            <w:pPr>
              <w:pStyle w:val="Contedodatabela"/>
              <w:widowControl w:val="false"/>
              <w:spacing w:lineRule="auto" w:line="240" w:before="0" w:after="0"/>
              <w:jc w:val="center"/>
              <w:rPr/>
            </w:pPr>
            <w:r>
              <w:rPr>
                <w:rFonts w:ascii="Verdana" w:hAnsi="Verdana"/>
                <w:color w:val="000000"/>
                <w:sz w:val="20"/>
                <w:szCs w:val="20"/>
                <w:lang w:val="pt-BR"/>
              </w:rPr>
              <w:t>02</w:t>
            </w:r>
          </w:p>
        </w:tc>
        <w:tc>
          <w:tcPr>
            <w:tcW w:w="1140" w:type="dxa"/>
            <w:vMerge w:val="continue"/>
            <w:tcBorders>
              <w:left w:val="single" w:sz="2" w:space="0" w:color="000000"/>
              <w:bottom w:val="single" w:sz="2" w:space="0" w:color="000000"/>
            </w:tcBorders>
            <w:vAlign w:val="center"/>
          </w:tcPr>
          <w:p>
            <w:pPr>
              <w:pStyle w:val="Normal"/>
              <w:spacing w:lineRule="auto" w:line="240" w:before="0" w:after="0"/>
              <w:rPr>
                <w:rFonts w:ascii="Verdana" w:hAnsi="Verdana"/>
                <w:sz w:val="20"/>
                <w:szCs w:val="20"/>
              </w:rPr>
            </w:pPr>
            <w:r>
              <w:rPr>
                <w:rFonts w:ascii="Verdana" w:hAnsi="Verdana"/>
                <w:sz w:val="20"/>
                <w:szCs w:val="20"/>
              </w:rPr>
            </w:r>
          </w:p>
        </w:tc>
        <w:tc>
          <w:tcPr>
            <w:tcW w:w="1140" w:type="dxa"/>
            <w:tcBorders>
              <w:left w:val="single" w:sz="2" w:space="0" w:color="000000"/>
              <w:bottom w:val="single" w:sz="2" w:space="0" w:color="000000"/>
            </w:tcBorders>
            <w:vAlign w:val="center"/>
          </w:tcPr>
          <w:p>
            <w:pPr>
              <w:pStyle w:val="Contedodatabela"/>
              <w:widowControl w:val="false"/>
              <w:spacing w:lineRule="auto" w:line="240" w:before="0" w:after="0"/>
              <w:jc w:val="center"/>
              <w:rPr/>
            </w:pPr>
            <w:r>
              <w:rPr>
                <w:rFonts w:ascii="Verdana" w:hAnsi="Verdana"/>
                <w:color w:val="000000"/>
                <w:sz w:val="20"/>
                <w:szCs w:val="20"/>
                <w:lang w:val="pt-BR"/>
              </w:rPr>
              <w:t>01</w:t>
            </w:r>
          </w:p>
        </w:tc>
        <w:tc>
          <w:tcPr>
            <w:tcW w:w="944" w:type="dxa"/>
            <w:tcBorders>
              <w:left w:val="single" w:sz="2" w:space="0" w:color="000000"/>
              <w:bottom w:val="single" w:sz="2" w:space="0" w:color="000000"/>
            </w:tcBorders>
            <w:vAlign w:val="center"/>
          </w:tcPr>
          <w:p>
            <w:pPr>
              <w:pStyle w:val="Contedodatabela"/>
              <w:widowControl w:val="false"/>
              <w:spacing w:lineRule="auto" w:line="240" w:before="0" w:after="0"/>
              <w:jc w:val="center"/>
              <w:rPr/>
            </w:pPr>
            <w:r>
              <w:rPr>
                <w:rFonts w:ascii="Verdana" w:hAnsi="Verdana"/>
                <w:sz w:val="20"/>
                <w:szCs w:val="20"/>
              </w:rPr>
              <w:t>Serviço</w:t>
            </w:r>
          </w:p>
        </w:tc>
        <w:tc>
          <w:tcPr>
            <w:tcW w:w="3061" w:type="dxa"/>
            <w:tcBorders>
              <w:left w:val="single" w:sz="2" w:space="0" w:color="000000"/>
              <w:bottom w:val="single" w:sz="2" w:space="0" w:color="000000"/>
            </w:tcBorders>
            <w:vAlign w:val="center"/>
          </w:tcPr>
          <w:p>
            <w:pPr>
              <w:pStyle w:val="Contedodatabela"/>
              <w:widowControl w:val="false"/>
              <w:spacing w:lineRule="auto" w:line="240" w:before="0" w:after="0"/>
              <w:jc w:val="both"/>
              <w:rPr/>
            </w:pPr>
            <w:r>
              <w:rPr>
                <w:rFonts w:ascii="Verdana" w:hAnsi="Verdana"/>
                <w:color w:val="000000"/>
                <w:sz w:val="20"/>
                <w:szCs w:val="20"/>
                <w:lang w:val="pt-BR"/>
              </w:rPr>
              <w:t>Implantação, instalação, migração, conversão de dados, customização e treinamento do Sistema Integrado de Almoxarifado</w:t>
            </w:r>
          </w:p>
        </w:tc>
        <w:tc>
          <w:tcPr>
            <w:tcW w:w="1424" w:type="dxa"/>
            <w:tcBorders>
              <w:left w:val="single" w:sz="2" w:space="0" w:color="000000"/>
              <w:bottom w:val="single" w:sz="2" w:space="0" w:color="000000"/>
            </w:tcBorders>
            <w:vAlign w:val="center"/>
          </w:tcPr>
          <w:p>
            <w:pPr>
              <w:pStyle w:val="Contedodatabela"/>
              <w:widowControl w:val="false"/>
              <w:spacing w:lineRule="auto" w:line="240" w:before="0" w:after="0"/>
              <w:jc w:val="center"/>
              <w:rPr>
                <w:rFonts w:ascii="Verdana" w:hAnsi="Verdana"/>
                <w:sz w:val="20"/>
                <w:szCs w:val="20"/>
              </w:rPr>
            </w:pPr>
            <w:r>
              <w:rPr>
                <w:rFonts w:ascii="Verdana" w:hAnsi="Verdana"/>
                <w:sz w:val="20"/>
                <w:szCs w:val="20"/>
              </w:rPr>
            </w:r>
          </w:p>
        </w:tc>
        <w:tc>
          <w:tcPr>
            <w:tcW w:w="1486" w:type="dxa"/>
            <w:tcBorders>
              <w:left w:val="single" w:sz="2" w:space="0" w:color="000000"/>
              <w:bottom w:val="single" w:sz="2" w:space="0" w:color="000000"/>
              <w:right w:val="single" w:sz="2" w:space="0" w:color="000000"/>
            </w:tcBorders>
            <w:vAlign w:val="center"/>
          </w:tcPr>
          <w:p>
            <w:pPr>
              <w:pStyle w:val="Contedodatabela"/>
              <w:widowControl w:val="false"/>
              <w:spacing w:lineRule="auto" w:line="240" w:before="0" w:after="0"/>
              <w:jc w:val="center"/>
              <w:rPr>
                <w:rFonts w:ascii="Verdana" w:hAnsi="Verdana"/>
                <w:sz w:val="20"/>
                <w:szCs w:val="20"/>
              </w:rPr>
            </w:pPr>
            <w:r>
              <w:rPr>
                <w:rFonts w:ascii="Verdana" w:hAnsi="Verdana"/>
                <w:sz w:val="20"/>
                <w:szCs w:val="20"/>
              </w:rPr>
            </w:r>
          </w:p>
        </w:tc>
      </w:tr>
      <w:tr>
        <w:trPr/>
        <w:tc>
          <w:tcPr>
            <w:tcW w:w="675" w:type="dxa"/>
            <w:tcBorders>
              <w:left w:val="single" w:sz="2" w:space="0" w:color="000000"/>
              <w:bottom w:val="single" w:sz="2" w:space="0" w:color="000000"/>
            </w:tcBorders>
            <w:vAlign w:val="center"/>
          </w:tcPr>
          <w:p>
            <w:pPr>
              <w:pStyle w:val="Contedodatabela"/>
              <w:widowControl w:val="false"/>
              <w:spacing w:lineRule="auto" w:line="240" w:before="0" w:after="0"/>
              <w:jc w:val="center"/>
              <w:rPr/>
            </w:pPr>
            <w:r>
              <w:rPr>
                <w:rFonts w:ascii="Verdana" w:hAnsi="Verdana"/>
                <w:color w:val="000000"/>
                <w:sz w:val="20"/>
                <w:szCs w:val="20"/>
                <w:lang w:val="pt-BR"/>
              </w:rPr>
              <w:t>03</w:t>
            </w:r>
          </w:p>
        </w:tc>
        <w:tc>
          <w:tcPr>
            <w:tcW w:w="1140" w:type="dxa"/>
            <w:vMerge w:val="continue"/>
            <w:tcBorders>
              <w:left w:val="single" w:sz="2" w:space="0" w:color="000000"/>
              <w:bottom w:val="single" w:sz="2" w:space="0" w:color="000000"/>
            </w:tcBorders>
            <w:vAlign w:val="center"/>
          </w:tcPr>
          <w:p>
            <w:pPr>
              <w:pStyle w:val="Normal"/>
              <w:spacing w:lineRule="auto" w:line="240" w:before="0" w:after="0"/>
              <w:rPr>
                <w:rFonts w:ascii="Verdana" w:hAnsi="Verdana"/>
                <w:sz w:val="20"/>
                <w:szCs w:val="20"/>
              </w:rPr>
            </w:pPr>
            <w:r>
              <w:rPr>
                <w:rFonts w:ascii="Verdana" w:hAnsi="Verdana"/>
                <w:sz w:val="20"/>
                <w:szCs w:val="20"/>
              </w:rPr>
            </w:r>
          </w:p>
        </w:tc>
        <w:tc>
          <w:tcPr>
            <w:tcW w:w="1140" w:type="dxa"/>
            <w:tcBorders>
              <w:left w:val="single" w:sz="2" w:space="0" w:color="000000"/>
              <w:bottom w:val="single" w:sz="2" w:space="0" w:color="000000"/>
            </w:tcBorders>
            <w:vAlign w:val="center"/>
          </w:tcPr>
          <w:p>
            <w:pPr>
              <w:pStyle w:val="Contedodatabela"/>
              <w:widowControl w:val="false"/>
              <w:spacing w:lineRule="auto" w:line="240" w:before="0" w:after="0"/>
              <w:jc w:val="center"/>
              <w:rPr/>
            </w:pPr>
            <w:r>
              <w:rPr>
                <w:rFonts w:ascii="Verdana" w:hAnsi="Verdana"/>
                <w:color w:val="000000"/>
                <w:sz w:val="20"/>
                <w:szCs w:val="20"/>
                <w:lang w:val="pt-BR"/>
              </w:rPr>
              <w:t>01</w:t>
            </w:r>
          </w:p>
        </w:tc>
        <w:tc>
          <w:tcPr>
            <w:tcW w:w="944" w:type="dxa"/>
            <w:tcBorders>
              <w:left w:val="single" w:sz="2" w:space="0" w:color="000000"/>
              <w:bottom w:val="single" w:sz="2" w:space="0" w:color="000000"/>
              <w:right w:val="single" w:sz="2" w:space="0" w:color="000000"/>
            </w:tcBorders>
            <w:vAlign w:val="center"/>
          </w:tcPr>
          <w:p>
            <w:pPr>
              <w:pStyle w:val="Contedodatabela"/>
              <w:widowControl w:val="false"/>
              <w:spacing w:lineRule="auto" w:line="240" w:before="0" w:after="0"/>
              <w:jc w:val="center"/>
              <w:rPr/>
            </w:pPr>
            <w:r>
              <w:rPr>
                <w:rFonts w:ascii="Verdana" w:hAnsi="Verdana"/>
                <w:sz w:val="20"/>
                <w:szCs w:val="20"/>
              </w:rPr>
              <w:t>Serviço</w:t>
            </w:r>
          </w:p>
        </w:tc>
        <w:tc>
          <w:tcPr>
            <w:tcW w:w="3061" w:type="dxa"/>
            <w:tcBorders>
              <w:left w:val="single" w:sz="2" w:space="0" w:color="000000"/>
              <w:bottom w:val="single" w:sz="2" w:space="0" w:color="000000"/>
            </w:tcBorders>
            <w:tcMar>
              <w:top w:w="0" w:type="dxa"/>
              <w:left w:w="57" w:type="dxa"/>
              <w:bottom w:w="57" w:type="dxa"/>
              <w:right w:w="57" w:type="dxa"/>
            </w:tcMar>
            <w:vAlign w:val="center"/>
          </w:tcPr>
          <w:p>
            <w:pPr>
              <w:pStyle w:val="Contedodatabela"/>
              <w:widowControl w:val="false"/>
              <w:spacing w:lineRule="auto" w:line="240" w:before="0" w:after="0"/>
              <w:jc w:val="both"/>
              <w:rPr/>
            </w:pPr>
            <w:r>
              <w:rPr>
                <w:rFonts w:ascii="Verdana" w:hAnsi="Verdana"/>
                <w:color w:val="000000"/>
                <w:sz w:val="20"/>
                <w:szCs w:val="20"/>
                <w:lang w:val="pt-BR"/>
              </w:rPr>
              <w:t>Implantação, instalação, migração, conversão de dados, customização e treinamento do Sistema Integrado de Controle de Bens Patrimoniais</w:t>
            </w:r>
          </w:p>
        </w:tc>
        <w:tc>
          <w:tcPr>
            <w:tcW w:w="1424" w:type="dxa"/>
            <w:tcBorders>
              <w:left w:val="single" w:sz="2" w:space="0" w:color="000000"/>
              <w:bottom w:val="single" w:sz="2" w:space="0" w:color="000000"/>
            </w:tcBorders>
            <w:tcMar>
              <w:top w:w="0" w:type="dxa"/>
              <w:left w:w="57" w:type="dxa"/>
              <w:bottom w:w="57" w:type="dxa"/>
              <w:right w:w="57" w:type="dxa"/>
            </w:tcMar>
            <w:vAlign w:val="center"/>
          </w:tcPr>
          <w:p>
            <w:pPr>
              <w:pStyle w:val="Contedodatabela"/>
              <w:widowControl w:val="false"/>
              <w:spacing w:lineRule="auto" w:line="240" w:before="0" w:after="0"/>
              <w:jc w:val="center"/>
              <w:rPr>
                <w:rFonts w:ascii="Verdana" w:hAnsi="Verdana"/>
                <w:sz w:val="20"/>
                <w:szCs w:val="20"/>
              </w:rPr>
            </w:pPr>
            <w:r>
              <w:rPr>
                <w:rFonts w:ascii="Verdana" w:hAnsi="Verdana"/>
                <w:sz w:val="20"/>
                <w:szCs w:val="20"/>
              </w:rPr>
            </w: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pPr>
              <w:pStyle w:val="Contedodatabela"/>
              <w:widowControl w:val="false"/>
              <w:spacing w:lineRule="auto" w:line="240" w:before="0" w:after="0"/>
              <w:jc w:val="center"/>
              <w:rPr>
                <w:rFonts w:ascii="Verdana" w:hAnsi="Verdana"/>
                <w:sz w:val="20"/>
                <w:szCs w:val="20"/>
              </w:rPr>
            </w:pPr>
            <w:r>
              <w:rPr>
                <w:rFonts w:ascii="Verdana" w:hAnsi="Verdana"/>
                <w:sz w:val="20"/>
                <w:szCs w:val="20"/>
              </w:rPr>
            </w:r>
          </w:p>
        </w:tc>
      </w:tr>
      <w:tr>
        <w:trPr/>
        <w:tc>
          <w:tcPr>
            <w:tcW w:w="675" w:type="dxa"/>
            <w:tcBorders>
              <w:left w:val="single" w:sz="2" w:space="0" w:color="000000"/>
              <w:bottom w:val="single" w:sz="2" w:space="0" w:color="000000"/>
            </w:tcBorders>
            <w:vAlign w:val="center"/>
          </w:tcPr>
          <w:p>
            <w:pPr>
              <w:pStyle w:val="Contedodatabela"/>
              <w:widowControl w:val="false"/>
              <w:spacing w:lineRule="auto" w:line="240" w:before="0" w:after="0"/>
              <w:jc w:val="center"/>
              <w:rPr/>
            </w:pPr>
            <w:r>
              <w:rPr>
                <w:rFonts w:ascii="Verdana" w:hAnsi="Verdana"/>
                <w:color w:val="000000"/>
                <w:sz w:val="20"/>
                <w:szCs w:val="20"/>
                <w:lang w:val="pt-BR"/>
              </w:rPr>
              <w:t>04</w:t>
            </w:r>
          </w:p>
        </w:tc>
        <w:tc>
          <w:tcPr>
            <w:tcW w:w="1140" w:type="dxa"/>
            <w:vMerge w:val="continue"/>
            <w:tcBorders>
              <w:left w:val="single" w:sz="2" w:space="0" w:color="000000"/>
              <w:bottom w:val="single" w:sz="2" w:space="0" w:color="000000"/>
            </w:tcBorders>
            <w:vAlign w:val="center"/>
          </w:tcPr>
          <w:p>
            <w:pPr>
              <w:pStyle w:val="Normal"/>
              <w:spacing w:lineRule="auto" w:line="240" w:before="0" w:after="0"/>
              <w:rPr>
                <w:rFonts w:ascii="Verdana" w:hAnsi="Verdana"/>
                <w:sz w:val="20"/>
                <w:szCs w:val="20"/>
              </w:rPr>
            </w:pPr>
            <w:r>
              <w:rPr>
                <w:rFonts w:ascii="Verdana" w:hAnsi="Verdana"/>
                <w:sz w:val="20"/>
                <w:szCs w:val="20"/>
              </w:rPr>
            </w:r>
          </w:p>
        </w:tc>
        <w:tc>
          <w:tcPr>
            <w:tcW w:w="1140" w:type="dxa"/>
            <w:tcBorders>
              <w:left w:val="single" w:sz="2" w:space="0" w:color="000000"/>
              <w:bottom w:val="single" w:sz="2" w:space="0" w:color="000000"/>
            </w:tcBorders>
            <w:vAlign w:val="center"/>
          </w:tcPr>
          <w:p>
            <w:pPr>
              <w:pStyle w:val="Contedodatabela"/>
              <w:widowControl w:val="false"/>
              <w:spacing w:lineRule="auto" w:line="240" w:before="0" w:after="0"/>
              <w:jc w:val="center"/>
              <w:rPr/>
            </w:pPr>
            <w:r>
              <w:rPr>
                <w:rFonts w:ascii="Verdana" w:hAnsi="Verdana"/>
                <w:color w:val="000000"/>
                <w:sz w:val="20"/>
                <w:szCs w:val="20"/>
                <w:lang w:val="pt-BR"/>
              </w:rPr>
              <w:t>01</w:t>
            </w:r>
          </w:p>
        </w:tc>
        <w:tc>
          <w:tcPr>
            <w:tcW w:w="944" w:type="dxa"/>
            <w:tcBorders>
              <w:left w:val="single" w:sz="2" w:space="0" w:color="000000"/>
              <w:bottom w:val="single" w:sz="2" w:space="0" w:color="000000"/>
              <w:right w:val="single" w:sz="2" w:space="0" w:color="000000"/>
            </w:tcBorders>
            <w:vAlign w:val="center"/>
          </w:tcPr>
          <w:p>
            <w:pPr>
              <w:pStyle w:val="Contedodatabela"/>
              <w:widowControl w:val="false"/>
              <w:spacing w:lineRule="auto" w:line="240" w:before="0" w:after="0"/>
              <w:jc w:val="center"/>
              <w:rPr/>
            </w:pPr>
            <w:r>
              <w:rPr>
                <w:rFonts w:ascii="Verdana" w:hAnsi="Verdana"/>
                <w:sz w:val="20"/>
                <w:szCs w:val="20"/>
              </w:rPr>
              <w:t>Serviço</w:t>
            </w:r>
          </w:p>
        </w:tc>
        <w:tc>
          <w:tcPr>
            <w:tcW w:w="3061" w:type="dxa"/>
            <w:tcBorders>
              <w:left w:val="single" w:sz="2" w:space="0" w:color="000000"/>
              <w:bottom w:val="single" w:sz="2" w:space="0" w:color="000000"/>
            </w:tcBorders>
            <w:tcMar>
              <w:top w:w="0" w:type="dxa"/>
              <w:left w:w="57" w:type="dxa"/>
              <w:bottom w:w="57" w:type="dxa"/>
              <w:right w:w="57" w:type="dxa"/>
            </w:tcMar>
            <w:vAlign w:val="center"/>
          </w:tcPr>
          <w:p>
            <w:pPr>
              <w:pStyle w:val="Contedodatabela"/>
              <w:widowControl w:val="false"/>
              <w:spacing w:lineRule="auto" w:line="240" w:before="0" w:after="0"/>
              <w:jc w:val="both"/>
              <w:rPr/>
            </w:pPr>
            <w:r>
              <w:rPr>
                <w:rFonts w:ascii="Verdana" w:hAnsi="Verdana"/>
                <w:color w:val="000000"/>
                <w:sz w:val="20"/>
                <w:szCs w:val="20"/>
                <w:lang w:val="pt-BR"/>
              </w:rPr>
              <w:t>Implantação, instalação, migração, conversão de dados, customização e treinamento do Sistema Integrado de Serviços Portal da Transparência</w:t>
            </w:r>
          </w:p>
        </w:tc>
        <w:tc>
          <w:tcPr>
            <w:tcW w:w="1424" w:type="dxa"/>
            <w:tcBorders>
              <w:left w:val="single" w:sz="2" w:space="0" w:color="000000"/>
              <w:bottom w:val="single" w:sz="2" w:space="0" w:color="000000"/>
            </w:tcBorders>
            <w:tcMar>
              <w:top w:w="0" w:type="dxa"/>
              <w:left w:w="57" w:type="dxa"/>
              <w:bottom w:w="57" w:type="dxa"/>
              <w:right w:w="57" w:type="dxa"/>
            </w:tcMar>
            <w:vAlign w:val="center"/>
          </w:tcPr>
          <w:p>
            <w:pPr>
              <w:pStyle w:val="Contedodatabela"/>
              <w:widowControl w:val="false"/>
              <w:spacing w:lineRule="auto" w:line="240" w:before="0" w:after="0"/>
              <w:jc w:val="center"/>
              <w:rPr>
                <w:rFonts w:ascii="Verdana" w:hAnsi="Verdana"/>
                <w:sz w:val="20"/>
                <w:szCs w:val="20"/>
              </w:rPr>
            </w:pPr>
            <w:r>
              <w:rPr>
                <w:rFonts w:ascii="Verdana" w:hAnsi="Verdana"/>
                <w:sz w:val="20"/>
                <w:szCs w:val="20"/>
              </w:rPr>
            </w: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pPr>
              <w:pStyle w:val="Contedodatabela"/>
              <w:widowControl w:val="false"/>
              <w:spacing w:lineRule="auto" w:line="240" w:before="0" w:after="0"/>
              <w:jc w:val="center"/>
              <w:rPr>
                <w:rFonts w:ascii="Verdana" w:hAnsi="Verdana"/>
                <w:sz w:val="20"/>
                <w:szCs w:val="20"/>
              </w:rPr>
            </w:pPr>
            <w:r>
              <w:rPr>
                <w:rFonts w:ascii="Verdana" w:hAnsi="Verdana"/>
                <w:sz w:val="20"/>
                <w:szCs w:val="20"/>
              </w:rPr>
            </w:r>
          </w:p>
        </w:tc>
      </w:tr>
      <w:tr>
        <w:trPr/>
        <w:tc>
          <w:tcPr>
            <w:tcW w:w="675" w:type="dxa"/>
            <w:tcBorders>
              <w:left w:val="single" w:sz="2" w:space="0" w:color="000000"/>
              <w:bottom w:val="single" w:sz="2" w:space="0" w:color="000000"/>
            </w:tcBorders>
            <w:vAlign w:val="center"/>
          </w:tcPr>
          <w:p>
            <w:pPr>
              <w:pStyle w:val="Contedodatabela"/>
              <w:widowControl w:val="false"/>
              <w:spacing w:lineRule="auto" w:line="240" w:before="0" w:after="0"/>
              <w:jc w:val="center"/>
              <w:rPr/>
            </w:pPr>
            <w:r>
              <w:rPr>
                <w:rFonts w:ascii="Verdana" w:hAnsi="Verdana"/>
                <w:sz w:val="20"/>
                <w:szCs w:val="20"/>
              </w:rPr>
              <w:t>05</w:t>
            </w:r>
          </w:p>
        </w:tc>
        <w:tc>
          <w:tcPr>
            <w:tcW w:w="1140" w:type="dxa"/>
            <w:tcBorders>
              <w:left w:val="single" w:sz="2" w:space="0" w:color="000000"/>
              <w:bottom w:val="single" w:sz="2" w:space="0" w:color="000000"/>
            </w:tcBorders>
            <w:vAlign w:val="center"/>
          </w:tcPr>
          <w:p>
            <w:pPr>
              <w:pStyle w:val="Contedodatabela"/>
              <w:widowControl w:val="false"/>
              <w:spacing w:lineRule="auto" w:line="240" w:before="0" w:after="0"/>
              <w:jc w:val="center"/>
              <w:rPr>
                <w:rFonts w:ascii="Verdana" w:hAnsi="Verdana"/>
                <w:color w:val="000000"/>
                <w:sz w:val="20"/>
                <w:szCs w:val="20"/>
                <w:lang w:val="pt-BR"/>
              </w:rPr>
            </w:pPr>
            <w:r>
              <w:rPr>
                <w:rFonts w:ascii="Verdana" w:hAnsi="Verdana"/>
                <w:color w:val="000000"/>
                <w:sz w:val="20"/>
                <w:szCs w:val="20"/>
                <w:lang w:val="pt-BR"/>
              </w:rPr>
            </w:r>
          </w:p>
        </w:tc>
        <w:tc>
          <w:tcPr>
            <w:tcW w:w="1140" w:type="dxa"/>
            <w:tcBorders>
              <w:left w:val="single" w:sz="2" w:space="0" w:color="000000"/>
              <w:bottom w:val="single" w:sz="2" w:space="0" w:color="000000"/>
            </w:tcBorders>
            <w:vAlign w:val="center"/>
          </w:tcPr>
          <w:p>
            <w:pPr>
              <w:pStyle w:val="Contedodatabela"/>
              <w:widowControl w:val="false"/>
              <w:spacing w:lineRule="auto" w:line="240" w:before="0" w:after="0"/>
              <w:jc w:val="center"/>
              <w:rPr/>
            </w:pPr>
            <w:r>
              <w:rPr>
                <w:rFonts w:ascii="Verdana" w:hAnsi="Verdana"/>
                <w:sz w:val="20"/>
                <w:szCs w:val="20"/>
              </w:rPr>
              <w:t>01</w:t>
            </w:r>
          </w:p>
        </w:tc>
        <w:tc>
          <w:tcPr>
            <w:tcW w:w="944" w:type="dxa"/>
            <w:tcBorders>
              <w:left w:val="single" w:sz="2" w:space="0" w:color="000000"/>
              <w:bottom w:val="single" w:sz="2" w:space="0" w:color="000000"/>
              <w:right w:val="single" w:sz="2" w:space="0" w:color="000000"/>
            </w:tcBorders>
            <w:vAlign w:val="center"/>
          </w:tcPr>
          <w:p>
            <w:pPr>
              <w:pStyle w:val="Contedodatabela"/>
              <w:widowControl w:val="false"/>
              <w:spacing w:lineRule="auto" w:line="240" w:before="0" w:after="0"/>
              <w:jc w:val="center"/>
              <w:rPr/>
            </w:pPr>
            <w:r>
              <w:rPr>
                <w:rFonts w:ascii="Verdana" w:hAnsi="Verdana"/>
                <w:sz w:val="20"/>
                <w:szCs w:val="20"/>
              </w:rPr>
              <w:t>Serviço</w:t>
            </w:r>
          </w:p>
        </w:tc>
        <w:tc>
          <w:tcPr>
            <w:tcW w:w="3061" w:type="dxa"/>
            <w:tcBorders>
              <w:left w:val="single" w:sz="2" w:space="0" w:color="000000"/>
              <w:bottom w:val="single" w:sz="2" w:space="0" w:color="000000"/>
            </w:tcBorders>
            <w:tcMar>
              <w:top w:w="0" w:type="dxa"/>
              <w:left w:w="57" w:type="dxa"/>
              <w:bottom w:w="57" w:type="dxa"/>
              <w:right w:w="57" w:type="dxa"/>
            </w:tcMar>
            <w:vAlign w:val="center"/>
          </w:tcPr>
          <w:p>
            <w:pPr>
              <w:pStyle w:val="Contedodatabela"/>
              <w:widowControl w:val="false"/>
              <w:spacing w:lineRule="auto" w:line="240" w:before="0" w:after="0"/>
              <w:jc w:val="both"/>
              <w:rPr/>
            </w:pPr>
            <w:r>
              <w:rPr>
                <w:rFonts w:ascii="Verdana" w:hAnsi="Verdana"/>
                <w:color w:val="000000"/>
                <w:sz w:val="20"/>
                <w:szCs w:val="20"/>
                <w:lang w:val="pt-BR"/>
              </w:rPr>
              <w:t>Implantação, instalação, migração, conversão de dados, customização e treinamento do Sistema Integrado de Gestão de Protocolos e Processos</w:t>
            </w:r>
          </w:p>
        </w:tc>
        <w:tc>
          <w:tcPr>
            <w:tcW w:w="1424" w:type="dxa"/>
            <w:tcBorders>
              <w:left w:val="single" w:sz="2" w:space="0" w:color="000000"/>
              <w:bottom w:val="single" w:sz="2" w:space="0" w:color="000000"/>
            </w:tcBorders>
            <w:tcMar>
              <w:top w:w="0" w:type="dxa"/>
              <w:left w:w="57" w:type="dxa"/>
              <w:bottom w:w="57" w:type="dxa"/>
              <w:right w:w="57" w:type="dxa"/>
            </w:tcMar>
            <w:vAlign w:val="center"/>
          </w:tcPr>
          <w:p>
            <w:pPr>
              <w:pStyle w:val="Contedodatabela"/>
              <w:widowControl w:val="false"/>
              <w:spacing w:lineRule="auto" w:line="240" w:before="0" w:after="0"/>
              <w:jc w:val="center"/>
              <w:rPr>
                <w:rFonts w:ascii="Verdana" w:hAnsi="Verdana"/>
                <w:sz w:val="20"/>
                <w:szCs w:val="20"/>
              </w:rPr>
            </w:pPr>
            <w:r>
              <w:rPr>
                <w:rFonts w:ascii="Verdana" w:hAnsi="Verdana"/>
                <w:sz w:val="20"/>
                <w:szCs w:val="20"/>
              </w:rPr>
            </w: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pPr>
              <w:pStyle w:val="Contedodatabela"/>
              <w:widowControl w:val="false"/>
              <w:spacing w:lineRule="auto" w:line="240" w:before="0" w:after="0"/>
              <w:jc w:val="center"/>
              <w:rPr>
                <w:rFonts w:ascii="Verdana" w:hAnsi="Verdana"/>
                <w:sz w:val="20"/>
                <w:szCs w:val="20"/>
              </w:rPr>
            </w:pPr>
            <w:r>
              <w:rPr>
                <w:rFonts w:ascii="Verdana" w:hAnsi="Verdana"/>
                <w:sz w:val="20"/>
                <w:szCs w:val="20"/>
              </w:rPr>
            </w:r>
          </w:p>
        </w:tc>
      </w:tr>
      <w:tr>
        <w:trPr>
          <w:trHeight w:val="124" w:hRule="atLeast"/>
        </w:trPr>
        <w:tc>
          <w:tcPr>
            <w:tcW w:w="6960" w:type="dxa"/>
            <w:gridSpan w:val="5"/>
            <w:tcBorders>
              <w:left w:val="single" w:sz="2" w:space="0" w:color="000000"/>
              <w:bottom w:val="single" w:sz="2" w:space="0" w:color="000000"/>
            </w:tcBorders>
            <w:vAlign w:val="center"/>
          </w:tcPr>
          <w:p>
            <w:pPr>
              <w:pStyle w:val="Contedodatabela"/>
              <w:widowControl w:val="false"/>
              <w:spacing w:lineRule="auto" w:line="240" w:before="0" w:after="0"/>
              <w:jc w:val="center"/>
              <w:rPr/>
            </w:pPr>
            <w:r>
              <w:rPr>
                <w:rFonts w:ascii="Verdana" w:hAnsi="Verdana"/>
                <w:b/>
                <w:bCs/>
                <w:color w:val="000000"/>
                <w:sz w:val="20"/>
                <w:szCs w:val="20"/>
                <w:lang w:val="pt-BR"/>
              </w:rPr>
              <w:t>TOTAL IMPLANTAÇÃO / TREINAMENTO</w:t>
            </w:r>
          </w:p>
        </w:tc>
        <w:tc>
          <w:tcPr>
            <w:tcW w:w="2910"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pPr>
              <w:pStyle w:val="Contedodatabela"/>
              <w:widowControl w:val="false"/>
              <w:spacing w:lineRule="auto" w:line="240" w:before="0" w:after="0"/>
              <w:jc w:val="center"/>
              <w:rPr>
                <w:rFonts w:ascii="Verdana" w:hAnsi="Verdana"/>
                <w:b/>
                <w:bCs/>
                <w:color w:val="000000"/>
                <w:sz w:val="20"/>
                <w:szCs w:val="20"/>
                <w:lang w:val="pt-BR"/>
              </w:rPr>
            </w:pPr>
            <w:r>
              <w:rPr>
                <w:rFonts w:ascii="Verdana" w:hAnsi="Verdana"/>
                <w:b/>
                <w:bCs/>
                <w:color w:val="000000"/>
                <w:sz w:val="20"/>
                <w:szCs w:val="20"/>
                <w:lang w:val="pt-BR"/>
              </w:rPr>
            </w:r>
          </w:p>
        </w:tc>
      </w:tr>
      <w:tr>
        <w:trPr>
          <w:trHeight w:val="124" w:hRule="atLeast"/>
        </w:trPr>
        <w:tc>
          <w:tcPr>
            <w:tcW w:w="6960" w:type="dxa"/>
            <w:gridSpan w:val="5"/>
            <w:tcBorders>
              <w:left w:val="single" w:sz="2" w:space="0" w:color="000000"/>
              <w:bottom w:val="single" w:sz="2" w:space="0" w:color="000000"/>
            </w:tcBorders>
            <w:vAlign w:val="center"/>
          </w:tcPr>
          <w:p>
            <w:pPr>
              <w:pStyle w:val="Contedodatabela"/>
              <w:widowControl w:val="false"/>
              <w:spacing w:lineRule="auto" w:line="240" w:before="0" w:after="0"/>
              <w:jc w:val="center"/>
              <w:rPr>
                <w:rFonts w:ascii="Verdana" w:hAnsi="Verdana"/>
                <w:sz w:val="20"/>
                <w:szCs w:val="20"/>
              </w:rPr>
            </w:pPr>
            <w:r>
              <w:rPr>
                <w:rFonts w:ascii="Verdana" w:hAnsi="Verdana"/>
                <w:sz w:val="20"/>
                <w:szCs w:val="20"/>
              </w:rPr>
            </w:r>
          </w:p>
        </w:tc>
        <w:tc>
          <w:tcPr>
            <w:tcW w:w="2910"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pPr>
              <w:pStyle w:val="Contedodatabela"/>
              <w:widowControl w:val="false"/>
              <w:spacing w:lineRule="auto" w:line="240" w:before="0" w:after="0"/>
              <w:jc w:val="center"/>
              <w:rPr>
                <w:rFonts w:ascii="Verdana" w:hAnsi="Verdana"/>
                <w:b/>
                <w:bCs/>
                <w:color w:val="000000"/>
                <w:sz w:val="20"/>
                <w:szCs w:val="20"/>
                <w:lang w:val="pt-BR"/>
              </w:rPr>
            </w:pPr>
            <w:r>
              <w:rPr>
                <w:rFonts w:ascii="Verdana" w:hAnsi="Verdana"/>
                <w:b/>
                <w:bCs/>
                <w:color w:val="000000"/>
                <w:sz w:val="20"/>
                <w:szCs w:val="20"/>
                <w:lang w:val="pt-BR"/>
              </w:rPr>
            </w:r>
          </w:p>
        </w:tc>
      </w:tr>
      <w:tr>
        <w:trPr>
          <w:trHeight w:val="124" w:hRule="atLeast"/>
        </w:trPr>
        <w:tc>
          <w:tcPr>
            <w:tcW w:w="9870" w:type="dxa"/>
            <w:gridSpan w:val="7"/>
            <w:tcBorders>
              <w:left w:val="single" w:sz="2" w:space="0" w:color="000000"/>
              <w:bottom w:val="single" w:sz="2" w:space="0" w:color="000000"/>
              <w:right w:val="single" w:sz="2" w:space="0" w:color="000000"/>
            </w:tcBorders>
            <w:vAlign w:val="center"/>
          </w:tcPr>
          <w:p>
            <w:pPr>
              <w:pStyle w:val="BodyText"/>
              <w:widowControl w:val="false"/>
              <w:bidi w:val="0"/>
              <w:spacing w:lineRule="auto" w:line="240" w:before="0" w:after="0"/>
              <w:ind w:hanging="0" w:left="0" w:right="0"/>
              <w:jc w:val="center"/>
              <w:rPr/>
            </w:pPr>
            <w:r>
              <w:rPr>
                <w:rFonts w:ascii="Verdana" w:hAnsi="Verdana"/>
                <w:b/>
                <w:bCs/>
                <w:color w:val="auto"/>
                <w:sz w:val="20"/>
                <w:szCs w:val="20"/>
              </w:rPr>
              <w:t>MÓDULOS / SISTEMAS</w:t>
            </w:r>
          </w:p>
        </w:tc>
      </w:tr>
      <w:tr>
        <w:trPr/>
        <w:tc>
          <w:tcPr>
            <w:tcW w:w="675" w:type="dxa"/>
            <w:tcBorders>
              <w:left w:val="single" w:sz="2" w:space="0" w:color="000000"/>
              <w:bottom w:val="single" w:sz="2" w:space="0" w:color="000000"/>
            </w:tcBorders>
            <w:vAlign w:val="center"/>
          </w:tcPr>
          <w:p>
            <w:pPr>
              <w:pStyle w:val="Normal"/>
              <w:widowControl w:val="false"/>
              <w:spacing w:lineRule="auto" w:line="240" w:before="0" w:after="0"/>
              <w:jc w:val="center"/>
              <w:rPr/>
            </w:pPr>
            <w:r>
              <w:rPr>
                <w:rFonts w:cs="Times New Roman" w:ascii="Verdana" w:hAnsi="Verdana"/>
                <w:b/>
                <w:bCs/>
                <w:sz w:val="20"/>
                <w:szCs w:val="20"/>
              </w:rPr>
              <w:t>Item</w:t>
            </w:r>
          </w:p>
        </w:tc>
        <w:tc>
          <w:tcPr>
            <w:tcW w:w="1140" w:type="dxa"/>
            <w:tcBorders>
              <w:left w:val="single" w:sz="2" w:space="0" w:color="000000"/>
              <w:bottom w:val="single" w:sz="2" w:space="0" w:color="000000"/>
            </w:tcBorders>
            <w:vAlign w:val="center"/>
          </w:tcPr>
          <w:p>
            <w:pPr>
              <w:pStyle w:val="Normal"/>
              <w:widowControl w:val="false"/>
              <w:spacing w:lineRule="auto" w:line="240" w:before="0" w:after="0"/>
              <w:jc w:val="center"/>
              <w:rPr/>
            </w:pPr>
            <w:r>
              <w:rPr>
                <w:rFonts w:cs="Times New Roman" w:ascii="Verdana" w:hAnsi="Verdana"/>
                <w:b/>
                <w:bCs/>
                <w:sz w:val="20"/>
                <w:szCs w:val="20"/>
              </w:rPr>
              <w:t>Fonte Pesquisa</w:t>
            </w:r>
          </w:p>
        </w:tc>
        <w:tc>
          <w:tcPr>
            <w:tcW w:w="1140" w:type="dxa"/>
            <w:tcBorders>
              <w:left w:val="single" w:sz="2" w:space="0" w:color="000000"/>
              <w:bottom w:val="single" w:sz="2" w:space="0" w:color="000000"/>
            </w:tcBorders>
            <w:vAlign w:val="center"/>
          </w:tcPr>
          <w:p>
            <w:pPr>
              <w:pStyle w:val="Normal"/>
              <w:widowControl w:val="false"/>
              <w:spacing w:lineRule="auto" w:line="240" w:before="0" w:after="0"/>
              <w:jc w:val="center"/>
              <w:rPr/>
            </w:pPr>
            <w:r>
              <w:rPr>
                <w:rFonts w:cs="Times New Roman" w:ascii="Verdana" w:hAnsi="Verdana"/>
                <w:b/>
                <w:bCs/>
                <w:sz w:val="20"/>
                <w:szCs w:val="20"/>
              </w:rPr>
              <w:t>Quant. Máxima Prevista</w:t>
            </w:r>
          </w:p>
        </w:tc>
        <w:tc>
          <w:tcPr>
            <w:tcW w:w="944" w:type="dxa"/>
            <w:tcBorders>
              <w:left w:val="single" w:sz="2" w:space="0" w:color="000000"/>
              <w:bottom w:val="single" w:sz="2" w:space="0" w:color="000000"/>
              <w:right w:val="single" w:sz="2" w:space="0" w:color="000000"/>
            </w:tcBorders>
            <w:vAlign w:val="center"/>
          </w:tcPr>
          <w:p>
            <w:pPr>
              <w:pStyle w:val="Contedodatabela"/>
              <w:widowControl w:val="false"/>
              <w:spacing w:lineRule="auto" w:line="240" w:before="0" w:after="0"/>
              <w:jc w:val="center"/>
              <w:rPr/>
            </w:pPr>
            <w:r>
              <w:rPr>
                <w:rFonts w:ascii="Verdana" w:hAnsi="Verdana"/>
                <w:b/>
                <w:bCs/>
                <w:sz w:val="20"/>
                <w:szCs w:val="20"/>
              </w:rPr>
              <w:t>Unid.</w:t>
            </w:r>
          </w:p>
        </w:tc>
        <w:tc>
          <w:tcPr>
            <w:tcW w:w="3061" w:type="dxa"/>
            <w:tcBorders>
              <w:left w:val="single" w:sz="2" w:space="0" w:color="000000"/>
              <w:bottom w:val="single" w:sz="2" w:space="0" w:color="000000"/>
            </w:tcBorders>
            <w:tcMar>
              <w:top w:w="0" w:type="dxa"/>
              <w:left w:w="57" w:type="dxa"/>
              <w:bottom w:w="57" w:type="dxa"/>
              <w:right w:w="57" w:type="dxa"/>
            </w:tcMar>
            <w:vAlign w:val="center"/>
          </w:tcPr>
          <w:p>
            <w:pPr>
              <w:pStyle w:val="Contedodatabela"/>
              <w:widowControl w:val="false"/>
              <w:spacing w:lineRule="auto" w:line="240" w:before="0" w:after="0"/>
              <w:jc w:val="center"/>
              <w:rPr/>
            </w:pPr>
            <w:r>
              <w:rPr>
                <w:rFonts w:ascii="Verdana" w:hAnsi="Verdana"/>
                <w:b/>
                <w:bCs/>
                <w:sz w:val="20"/>
                <w:szCs w:val="20"/>
              </w:rPr>
              <w:t>Descrição</w:t>
            </w:r>
          </w:p>
        </w:tc>
        <w:tc>
          <w:tcPr>
            <w:tcW w:w="1424" w:type="dxa"/>
            <w:tcBorders>
              <w:left w:val="single" w:sz="2" w:space="0" w:color="000000"/>
              <w:bottom w:val="single" w:sz="2" w:space="0" w:color="000000"/>
            </w:tcBorders>
            <w:tcMar>
              <w:top w:w="0" w:type="dxa"/>
              <w:left w:w="57" w:type="dxa"/>
              <w:bottom w:w="57" w:type="dxa"/>
              <w:right w:w="57" w:type="dxa"/>
            </w:tcMar>
            <w:vAlign w:val="center"/>
          </w:tcPr>
          <w:p>
            <w:pPr>
              <w:pStyle w:val="Normal"/>
              <w:widowControl w:val="false"/>
              <w:spacing w:lineRule="auto" w:line="240" w:before="0" w:after="0"/>
              <w:jc w:val="center"/>
              <w:rPr/>
            </w:pPr>
            <w:r>
              <w:rPr>
                <w:rFonts w:cs="Times New Roman" w:ascii="Verdana" w:hAnsi="Verdana"/>
                <w:b/>
                <w:bCs/>
                <w:sz w:val="20"/>
                <w:szCs w:val="20"/>
              </w:rPr>
              <w:t>Valor Unitário Estimado</w:t>
            </w: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pPr>
              <w:pStyle w:val="Normal"/>
              <w:widowControl w:val="false"/>
              <w:spacing w:lineRule="auto" w:line="240" w:before="0" w:after="0"/>
              <w:jc w:val="center"/>
              <w:rPr/>
            </w:pPr>
            <w:r>
              <w:rPr>
                <w:rFonts w:cs="Times New Roman" w:ascii="Verdana" w:hAnsi="Verdana"/>
                <w:b/>
                <w:bCs/>
                <w:sz w:val="20"/>
                <w:szCs w:val="20"/>
              </w:rPr>
              <w:t>Valor Total Estimado</w:t>
            </w:r>
          </w:p>
        </w:tc>
      </w:tr>
      <w:tr>
        <w:trPr/>
        <w:tc>
          <w:tcPr>
            <w:tcW w:w="675" w:type="dxa"/>
            <w:tcBorders>
              <w:left w:val="single" w:sz="2" w:space="0" w:color="000000"/>
              <w:bottom w:val="single" w:sz="2" w:space="0" w:color="000000"/>
            </w:tcBorders>
            <w:vAlign w:val="center"/>
          </w:tcPr>
          <w:p>
            <w:pPr>
              <w:pStyle w:val="Contedodatabela"/>
              <w:widowControl w:val="false"/>
              <w:bidi w:val="0"/>
              <w:spacing w:lineRule="auto" w:line="240" w:before="0" w:after="0"/>
              <w:ind w:hanging="0" w:left="0" w:right="0"/>
              <w:jc w:val="center"/>
              <w:rPr/>
            </w:pPr>
            <w:r>
              <w:rPr>
                <w:rFonts w:ascii="Verdana" w:hAnsi="Verdana"/>
                <w:sz w:val="20"/>
                <w:szCs w:val="20"/>
              </w:rPr>
              <w:t>01</w:t>
            </w:r>
          </w:p>
        </w:tc>
        <w:tc>
          <w:tcPr>
            <w:tcW w:w="1140" w:type="dxa"/>
            <w:vMerge w:val="restart"/>
            <w:tcBorders>
              <w:left w:val="single" w:sz="2" w:space="0" w:color="000000"/>
              <w:bottom w:val="single" w:sz="2" w:space="0" w:color="000000"/>
            </w:tcBorders>
            <w:vAlign w:val="center"/>
          </w:tcPr>
          <w:p>
            <w:pPr>
              <w:pStyle w:val="Contedodatabela"/>
              <w:widowControl w:val="false"/>
              <w:bidi w:val="0"/>
              <w:spacing w:lineRule="auto" w:line="240" w:before="0" w:after="0"/>
              <w:ind w:hanging="0" w:left="0" w:right="0"/>
              <w:jc w:val="center"/>
              <w:rPr/>
            </w:pPr>
            <w:r>
              <w:rPr>
                <w:rFonts w:ascii="Verdana" w:hAnsi="Verdana"/>
                <w:sz w:val="20"/>
                <w:szCs w:val="20"/>
              </w:rPr>
              <w:t>PNCP</w:t>
            </w:r>
          </w:p>
        </w:tc>
        <w:tc>
          <w:tcPr>
            <w:tcW w:w="1140" w:type="dxa"/>
            <w:tcBorders>
              <w:left w:val="single" w:sz="2" w:space="0" w:color="000000"/>
              <w:bottom w:val="single" w:sz="2" w:space="0" w:color="000000"/>
            </w:tcBorders>
            <w:vAlign w:val="center"/>
          </w:tcPr>
          <w:p>
            <w:pPr>
              <w:pStyle w:val="Contedodatabela"/>
              <w:widowControl w:val="false"/>
              <w:spacing w:lineRule="auto" w:line="240" w:before="0" w:after="0"/>
              <w:jc w:val="center"/>
              <w:rPr/>
            </w:pPr>
            <w:r>
              <w:rPr>
                <w:rFonts w:ascii="Verdana" w:hAnsi="Verdana"/>
                <w:color w:val="000000"/>
                <w:sz w:val="20"/>
                <w:szCs w:val="20"/>
                <w:lang w:val="pt-BR"/>
              </w:rPr>
              <w:t>12</w:t>
            </w:r>
          </w:p>
        </w:tc>
        <w:tc>
          <w:tcPr>
            <w:tcW w:w="944" w:type="dxa"/>
            <w:tcBorders>
              <w:left w:val="single" w:sz="2" w:space="0" w:color="000000"/>
              <w:bottom w:val="single" w:sz="2" w:space="0" w:color="000000"/>
              <w:right w:val="single" w:sz="2" w:space="0" w:color="000000"/>
            </w:tcBorders>
            <w:vAlign w:val="center"/>
          </w:tcPr>
          <w:p>
            <w:pPr>
              <w:pStyle w:val="Contedodatabela"/>
              <w:widowControl w:val="false"/>
              <w:spacing w:lineRule="auto" w:line="240" w:before="0" w:after="0"/>
              <w:jc w:val="center"/>
              <w:rPr/>
            </w:pPr>
            <w:r>
              <w:rPr>
                <w:rFonts w:ascii="Verdana" w:hAnsi="Verdana"/>
                <w:sz w:val="20"/>
                <w:szCs w:val="20"/>
              </w:rPr>
              <w:t>Mês</w:t>
            </w:r>
          </w:p>
        </w:tc>
        <w:tc>
          <w:tcPr>
            <w:tcW w:w="3061" w:type="dxa"/>
            <w:tcBorders>
              <w:left w:val="single" w:sz="2" w:space="0" w:color="000000"/>
              <w:bottom w:val="single" w:sz="2" w:space="0" w:color="000000"/>
            </w:tcBorders>
            <w:tcMar>
              <w:top w:w="0" w:type="dxa"/>
              <w:left w:w="57" w:type="dxa"/>
              <w:bottom w:w="57" w:type="dxa"/>
              <w:right w:w="57" w:type="dxa"/>
            </w:tcMar>
            <w:vAlign w:val="center"/>
          </w:tcPr>
          <w:p>
            <w:pPr>
              <w:pStyle w:val="Contedodatabela"/>
              <w:widowControl w:val="false"/>
              <w:bidi w:val="0"/>
              <w:spacing w:lineRule="auto" w:line="240" w:before="0" w:after="0"/>
              <w:ind w:hanging="0" w:left="0" w:right="0"/>
              <w:jc w:val="both"/>
              <w:rPr/>
            </w:pPr>
            <w:r>
              <w:rPr>
                <w:rFonts w:ascii="Verdana" w:hAnsi="Verdana"/>
                <w:sz w:val="20"/>
                <w:szCs w:val="20"/>
              </w:rPr>
              <w:t>Licença de uso, suporte e manutenção do Sistema Integrado de Compras, Licitações e Contratos</w:t>
            </w:r>
          </w:p>
        </w:tc>
        <w:tc>
          <w:tcPr>
            <w:tcW w:w="1424" w:type="dxa"/>
            <w:tcBorders>
              <w:left w:val="single" w:sz="2" w:space="0" w:color="000000"/>
              <w:bottom w:val="single" w:sz="2" w:space="0" w:color="000000"/>
            </w:tcBorders>
            <w:tcMar>
              <w:top w:w="0" w:type="dxa"/>
              <w:left w:w="57" w:type="dxa"/>
              <w:bottom w:w="57" w:type="dxa"/>
              <w:right w:w="57" w:type="dxa"/>
            </w:tcMar>
            <w:vAlign w:val="center"/>
          </w:tcPr>
          <w:p>
            <w:pPr>
              <w:pStyle w:val="Contedodatabela"/>
              <w:widowControl w:val="false"/>
              <w:bidi w:val="0"/>
              <w:spacing w:lineRule="auto" w:line="240" w:before="0" w:after="0"/>
              <w:ind w:hanging="0" w:left="0" w:right="0"/>
              <w:jc w:val="center"/>
              <w:rPr>
                <w:rFonts w:ascii="Verdana" w:hAnsi="Verdana"/>
                <w:sz w:val="20"/>
                <w:szCs w:val="20"/>
              </w:rPr>
            </w:pPr>
            <w:r>
              <w:rPr>
                <w:rFonts w:ascii="Verdana" w:hAnsi="Verdana"/>
                <w:sz w:val="20"/>
                <w:szCs w:val="20"/>
              </w:rPr>
            </w: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pPr>
              <w:pStyle w:val="Contedodatabela"/>
              <w:widowControl w:val="false"/>
              <w:bidi w:val="0"/>
              <w:spacing w:lineRule="auto" w:line="240" w:before="0" w:after="0"/>
              <w:ind w:hanging="0" w:left="0" w:right="0"/>
              <w:jc w:val="center"/>
              <w:rPr>
                <w:rFonts w:ascii="Verdana" w:hAnsi="Verdana"/>
                <w:sz w:val="20"/>
                <w:szCs w:val="20"/>
              </w:rPr>
            </w:pPr>
            <w:r>
              <w:rPr>
                <w:rFonts w:ascii="Verdana" w:hAnsi="Verdana"/>
                <w:sz w:val="20"/>
                <w:szCs w:val="20"/>
              </w:rPr>
            </w:r>
          </w:p>
        </w:tc>
      </w:tr>
      <w:tr>
        <w:trPr/>
        <w:tc>
          <w:tcPr>
            <w:tcW w:w="675" w:type="dxa"/>
            <w:tcBorders>
              <w:left w:val="single" w:sz="2" w:space="0" w:color="000000"/>
              <w:bottom w:val="single" w:sz="2" w:space="0" w:color="000000"/>
            </w:tcBorders>
            <w:vAlign w:val="center"/>
          </w:tcPr>
          <w:p>
            <w:pPr>
              <w:pStyle w:val="Contedodatabela"/>
              <w:widowControl w:val="false"/>
              <w:bidi w:val="0"/>
              <w:spacing w:lineRule="auto" w:line="240" w:before="0" w:after="0"/>
              <w:ind w:hanging="0" w:left="0" w:right="0"/>
              <w:jc w:val="center"/>
              <w:rPr/>
            </w:pPr>
            <w:r>
              <w:rPr>
                <w:rFonts w:ascii="Verdana" w:hAnsi="Verdana"/>
                <w:sz w:val="20"/>
                <w:szCs w:val="20"/>
              </w:rPr>
              <w:t>02</w:t>
            </w:r>
          </w:p>
        </w:tc>
        <w:tc>
          <w:tcPr>
            <w:tcW w:w="1140" w:type="dxa"/>
            <w:vMerge w:val="continue"/>
            <w:tcBorders>
              <w:left w:val="single" w:sz="2" w:space="0" w:color="000000"/>
              <w:bottom w:val="single" w:sz="2" w:space="0" w:color="000000"/>
            </w:tcBorders>
            <w:vAlign w:val="center"/>
          </w:tcPr>
          <w:p>
            <w:pPr>
              <w:pStyle w:val="Normal"/>
              <w:spacing w:lineRule="auto" w:line="240" w:before="0" w:after="0"/>
              <w:rPr>
                <w:rFonts w:ascii="Verdana" w:hAnsi="Verdana"/>
                <w:sz w:val="20"/>
                <w:szCs w:val="20"/>
              </w:rPr>
            </w:pPr>
            <w:r>
              <w:rPr>
                <w:rFonts w:ascii="Verdana" w:hAnsi="Verdana"/>
                <w:sz w:val="20"/>
                <w:szCs w:val="20"/>
              </w:rPr>
            </w:r>
          </w:p>
        </w:tc>
        <w:tc>
          <w:tcPr>
            <w:tcW w:w="1140" w:type="dxa"/>
            <w:tcBorders>
              <w:left w:val="single" w:sz="2" w:space="0" w:color="000000"/>
              <w:bottom w:val="single" w:sz="2" w:space="0" w:color="000000"/>
            </w:tcBorders>
            <w:vAlign w:val="center"/>
          </w:tcPr>
          <w:p>
            <w:pPr>
              <w:pStyle w:val="Contedodatabela"/>
              <w:widowControl w:val="false"/>
              <w:spacing w:lineRule="auto" w:line="240" w:before="0" w:after="0"/>
              <w:jc w:val="center"/>
              <w:rPr/>
            </w:pPr>
            <w:r>
              <w:rPr>
                <w:rFonts w:ascii="Verdana" w:hAnsi="Verdana"/>
                <w:color w:val="000000"/>
                <w:sz w:val="20"/>
                <w:szCs w:val="20"/>
                <w:lang w:val="pt-BR"/>
              </w:rPr>
              <w:t>12</w:t>
            </w:r>
          </w:p>
        </w:tc>
        <w:tc>
          <w:tcPr>
            <w:tcW w:w="944" w:type="dxa"/>
            <w:tcBorders>
              <w:left w:val="single" w:sz="2" w:space="0" w:color="000000"/>
              <w:bottom w:val="single" w:sz="2" w:space="0" w:color="000000"/>
              <w:right w:val="single" w:sz="2" w:space="0" w:color="000000"/>
            </w:tcBorders>
            <w:vAlign w:val="center"/>
          </w:tcPr>
          <w:p>
            <w:pPr>
              <w:pStyle w:val="Contedodatabela"/>
              <w:widowControl w:val="false"/>
              <w:spacing w:lineRule="auto" w:line="240" w:before="0" w:after="0"/>
              <w:jc w:val="center"/>
              <w:rPr/>
            </w:pPr>
            <w:r>
              <w:rPr>
                <w:rFonts w:ascii="Verdana" w:hAnsi="Verdana"/>
                <w:sz w:val="20"/>
                <w:szCs w:val="20"/>
              </w:rPr>
              <w:t>Mês</w:t>
            </w:r>
          </w:p>
        </w:tc>
        <w:tc>
          <w:tcPr>
            <w:tcW w:w="3061" w:type="dxa"/>
            <w:tcBorders>
              <w:left w:val="single" w:sz="2" w:space="0" w:color="000000"/>
              <w:bottom w:val="single" w:sz="2" w:space="0" w:color="000000"/>
            </w:tcBorders>
            <w:tcMar>
              <w:top w:w="0" w:type="dxa"/>
              <w:left w:w="57" w:type="dxa"/>
              <w:bottom w:w="57" w:type="dxa"/>
              <w:right w:w="57" w:type="dxa"/>
            </w:tcMar>
            <w:vAlign w:val="center"/>
          </w:tcPr>
          <w:p>
            <w:pPr>
              <w:pStyle w:val="BodyText"/>
              <w:widowControl w:val="false"/>
              <w:spacing w:lineRule="auto" w:line="240" w:before="0" w:after="0"/>
              <w:jc w:val="both"/>
              <w:rPr/>
            </w:pPr>
            <w:r>
              <w:rPr>
                <w:rFonts w:ascii="Verdana" w:hAnsi="Verdana"/>
                <w:color w:val="000000"/>
                <w:sz w:val="20"/>
                <w:szCs w:val="20"/>
                <w:lang w:val="pt-BR"/>
              </w:rPr>
              <w:t>Licença de uso, suporte e manutenção do Sistema Integrado de Almoxarifado</w:t>
            </w:r>
          </w:p>
        </w:tc>
        <w:tc>
          <w:tcPr>
            <w:tcW w:w="1424" w:type="dxa"/>
            <w:tcBorders>
              <w:left w:val="single" w:sz="2" w:space="0" w:color="000000"/>
              <w:bottom w:val="single" w:sz="2" w:space="0" w:color="000000"/>
            </w:tcBorders>
            <w:tcMar>
              <w:top w:w="0" w:type="dxa"/>
              <w:left w:w="57" w:type="dxa"/>
              <w:bottom w:w="57" w:type="dxa"/>
              <w:right w:w="57" w:type="dxa"/>
            </w:tcMar>
            <w:vAlign w:val="center"/>
          </w:tcPr>
          <w:p>
            <w:pPr>
              <w:pStyle w:val="BodyText"/>
              <w:widowControl w:val="false"/>
              <w:spacing w:lineRule="auto" w:line="240" w:before="0" w:after="0"/>
              <w:jc w:val="center"/>
              <w:rPr>
                <w:rFonts w:ascii="Verdana" w:hAnsi="Verdana"/>
                <w:color w:val="000000"/>
                <w:sz w:val="20"/>
                <w:szCs w:val="20"/>
                <w:lang w:val="pt-BR"/>
              </w:rPr>
            </w:pPr>
            <w:r>
              <w:rPr>
                <w:rFonts w:ascii="Verdana" w:hAnsi="Verdana"/>
                <w:color w:val="000000"/>
                <w:sz w:val="20"/>
                <w:szCs w:val="20"/>
                <w:lang w:val="pt-BR"/>
              </w:rPr>
            </w: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pPr>
              <w:pStyle w:val="BodyText"/>
              <w:widowControl w:val="false"/>
              <w:spacing w:lineRule="auto" w:line="240" w:before="0" w:after="0"/>
              <w:jc w:val="center"/>
              <w:rPr>
                <w:rFonts w:ascii="Verdana" w:hAnsi="Verdana"/>
                <w:color w:val="000000"/>
                <w:sz w:val="20"/>
                <w:szCs w:val="20"/>
                <w:lang w:val="pt-BR"/>
              </w:rPr>
            </w:pPr>
            <w:r>
              <w:rPr>
                <w:rFonts w:ascii="Verdana" w:hAnsi="Verdana"/>
                <w:color w:val="000000"/>
                <w:sz w:val="20"/>
                <w:szCs w:val="20"/>
                <w:lang w:val="pt-BR"/>
              </w:rPr>
            </w:r>
          </w:p>
        </w:tc>
      </w:tr>
      <w:tr>
        <w:trPr/>
        <w:tc>
          <w:tcPr>
            <w:tcW w:w="675" w:type="dxa"/>
            <w:tcBorders>
              <w:left w:val="single" w:sz="2" w:space="0" w:color="000000"/>
              <w:bottom w:val="single" w:sz="2" w:space="0" w:color="000000"/>
            </w:tcBorders>
            <w:vAlign w:val="center"/>
          </w:tcPr>
          <w:p>
            <w:pPr>
              <w:pStyle w:val="Contedodatabela"/>
              <w:widowControl w:val="false"/>
              <w:bidi w:val="0"/>
              <w:spacing w:lineRule="auto" w:line="240" w:before="0" w:after="0"/>
              <w:ind w:hanging="0" w:left="0" w:right="0"/>
              <w:jc w:val="center"/>
              <w:rPr/>
            </w:pPr>
            <w:r>
              <w:rPr>
                <w:rFonts w:ascii="Verdana" w:hAnsi="Verdana"/>
                <w:sz w:val="20"/>
                <w:szCs w:val="20"/>
              </w:rPr>
              <w:t>03</w:t>
            </w:r>
          </w:p>
        </w:tc>
        <w:tc>
          <w:tcPr>
            <w:tcW w:w="1140" w:type="dxa"/>
            <w:vMerge w:val="continue"/>
            <w:tcBorders>
              <w:left w:val="single" w:sz="2" w:space="0" w:color="000000"/>
              <w:bottom w:val="single" w:sz="2" w:space="0" w:color="000000"/>
            </w:tcBorders>
            <w:vAlign w:val="center"/>
          </w:tcPr>
          <w:p>
            <w:pPr>
              <w:pStyle w:val="Normal"/>
              <w:spacing w:lineRule="auto" w:line="240" w:before="0" w:after="0"/>
              <w:rPr>
                <w:rFonts w:ascii="Verdana" w:hAnsi="Verdana"/>
                <w:sz w:val="20"/>
                <w:szCs w:val="20"/>
              </w:rPr>
            </w:pPr>
            <w:r>
              <w:rPr>
                <w:rFonts w:ascii="Verdana" w:hAnsi="Verdana"/>
                <w:sz w:val="20"/>
                <w:szCs w:val="20"/>
              </w:rPr>
            </w:r>
          </w:p>
        </w:tc>
        <w:tc>
          <w:tcPr>
            <w:tcW w:w="1140" w:type="dxa"/>
            <w:tcBorders>
              <w:left w:val="single" w:sz="2" w:space="0" w:color="000000"/>
              <w:bottom w:val="single" w:sz="2" w:space="0" w:color="000000"/>
            </w:tcBorders>
            <w:vAlign w:val="center"/>
          </w:tcPr>
          <w:p>
            <w:pPr>
              <w:pStyle w:val="Contedodatabela"/>
              <w:widowControl w:val="false"/>
              <w:spacing w:lineRule="auto" w:line="240" w:before="0" w:after="0"/>
              <w:jc w:val="center"/>
              <w:rPr/>
            </w:pPr>
            <w:r>
              <w:rPr>
                <w:rFonts w:ascii="Verdana" w:hAnsi="Verdana"/>
                <w:color w:val="000000"/>
                <w:sz w:val="20"/>
                <w:szCs w:val="20"/>
                <w:lang w:val="pt-BR"/>
              </w:rPr>
              <w:t>12</w:t>
            </w:r>
          </w:p>
        </w:tc>
        <w:tc>
          <w:tcPr>
            <w:tcW w:w="944" w:type="dxa"/>
            <w:tcBorders>
              <w:left w:val="single" w:sz="2" w:space="0" w:color="000000"/>
              <w:bottom w:val="single" w:sz="2" w:space="0" w:color="000000"/>
              <w:right w:val="single" w:sz="2" w:space="0" w:color="000000"/>
            </w:tcBorders>
            <w:vAlign w:val="center"/>
          </w:tcPr>
          <w:p>
            <w:pPr>
              <w:pStyle w:val="Contedodatabela"/>
              <w:widowControl w:val="false"/>
              <w:spacing w:lineRule="auto" w:line="240" w:before="0" w:after="0"/>
              <w:jc w:val="center"/>
              <w:rPr/>
            </w:pPr>
            <w:r>
              <w:rPr>
                <w:rFonts w:ascii="Verdana" w:hAnsi="Verdana"/>
                <w:sz w:val="20"/>
                <w:szCs w:val="20"/>
              </w:rPr>
              <w:t>Mês</w:t>
            </w:r>
          </w:p>
        </w:tc>
        <w:tc>
          <w:tcPr>
            <w:tcW w:w="3061" w:type="dxa"/>
            <w:tcBorders>
              <w:left w:val="single" w:sz="2" w:space="0" w:color="000000"/>
              <w:bottom w:val="single" w:sz="2" w:space="0" w:color="000000"/>
            </w:tcBorders>
            <w:tcMar>
              <w:top w:w="0" w:type="dxa"/>
              <w:left w:w="57" w:type="dxa"/>
              <w:bottom w:w="57" w:type="dxa"/>
              <w:right w:w="57" w:type="dxa"/>
            </w:tcMar>
            <w:vAlign w:val="center"/>
          </w:tcPr>
          <w:p>
            <w:pPr>
              <w:pStyle w:val="BodyText"/>
              <w:widowControl w:val="false"/>
              <w:spacing w:lineRule="auto" w:line="240" w:before="0" w:after="0"/>
              <w:jc w:val="both"/>
              <w:rPr/>
            </w:pPr>
            <w:r>
              <w:rPr>
                <w:rFonts w:ascii="Verdana" w:hAnsi="Verdana"/>
                <w:color w:val="000000"/>
                <w:sz w:val="20"/>
                <w:szCs w:val="20"/>
                <w:lang w:val="pt-BR"/>
              </w:rPr>
              <w:t>Licença de uso, suporte e manutenção do Sistema Integrado de Controle de Bens Patrimoniais</w:t>
            </w:r>
          </w:p>
        </w:tc>
        <w:tc>
          <w:tcPr>
            <w:tcW w:w="1424" w:type="dxa"/>
            <w:tcBorders>
              <w:left w:val="single" w:sz="2" w:space="0" w:color="000000"/>
              <w:bottom w:val="single" w:sz="2" w:space="0" w:color="000000"/>
            </w:tcBorders>
            <w:tcMar>
              <w:top w:w="0" w:type="dxa"/>
              <w:left w:w="57" w:type="dxa"/>
              <w:bottom w:w="57" w:type="dxa"/>
              <w:right w:w="57" w:type="dxa"/>
            </w:tcMar>
            <w:vAlign w:val="center"/>
          </w:tcPr>
          <w:p>
            <w:pPr>
              <w:pStyle w:val="BodyText"/>
              <w:widowControl w:val="false"/>
              <w:spacing w:lineRule="auto" w:line="240" w:before="0" w:after="0"/>
              <w:jc w:val="center"/>
              <w:rPr>
                <w:rFonts w:ascii="Verdana" w:hAnsi="Verdana"/>
                <w:color w:val="000000"/>
                <w:sz w:val="20"/>
                <w:szCs w:val="20"/>
                <w:lang w:val="pt-BR"/>
              </w:rPr>
            </w:pPr>
            <w:r>
              <w:rPr>
                <w:rFonts w:ascii="Verdana" w:hAnsi="Verdana"/>
                <w:color w:val="000000"/>
                <w:sz w:val="20"/>
                <w:szCs w:val="20"/>
                <w:lang w:val="pt-BR"/>
              </w:rPr>
            </w: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pPr>
              <w:pStyle w:val="BodyText"/>
              <w:widowControl w:val="false"/>
              <w:spacing w:lineRule="auto" w:line="240" w:before="0" w:after="0"/>
              <w:jc w:val="center"/>
              <w:rPr>
                <w:rFonts w:ascii="Verdana" w:hAnsi="Verdana"/>
                <w:color w:val="000000"/>
                <w:sz w:val="20"/>
                <w:szCs w:val="20"/>
                <w:lang w:val="pt-BR"/>
              </w:rPr>
            </w:pPr>
            <w:r>
              <w:rPr>
                <w:rFonts w:ascii="Verdana" w:hAnsi="Verdana"/>
                <w:color w:val="000000"/>
                <w:sz w:val="20"/>
                <w:szCs w:val="20"/>
                <w:lang w:val="pt-BR"/>
              </w:rPr>
            </w:r>
          </w:p>
        </w:tc>
      </w:tr>
      <w:tr>
        <w:trPr/>
        <w:tc>
          <w:tcPr>
            <w:tcW w:w="675" w:type="dxa"/>
            <w:tcBorders>
              <w:left w:val="single" w:sz="2" w:space="0" w:color="000000"/>
              <w:bottom w:val="single" w:sz="2" w:space="0" w:color="000000"/>
            </w:tcBorders>
            <w:vAlign w:val="center"/>
          </w:tcPr>
          <w:p>
            <w:pPr>
              <w:pStyle w:val="Contedodatabela"/>
              <w:widowControl w:val="false"/>
              <w:bidi w:val="0"/>
              <w:spacing w:lineRule="auto" w:line="240" w:before="0" w:after="0"/>
              <w:ind w:hanging="0" w:left="0" w:right="0"/>
              <w:jc w:val="center"/>
              <w:rPr/>
            </w:pPr>
            <w:r>
              <w:rPr>
                <w:rFonts w:ascii="Verdana" w:hAnsi="Verdana"/>
                <w:sz w:val="20"/>
                <w:szCs w:val="20"/>
              </w:rPr>
              <w:t>04</w:t>
            </w:r>
          </w:p>
        </w:tc>
        <w:tc>
          <w:tcPr>
            <w:tcW w:w="1140" w:type="dxa"/>
            <w:vMerge w:val="continue"/>
            <w:tcBorders>
              <w:left w:val="single" w:sz="2" w:space="0" w:color="000000"/>
              <w:bottom w:val="single" w:sz="2" w:space="0" w:color="000000"/>
            </w:tcBorders>
            <w:vAlign w:val="center"/>
          </w:tcPr>
          <w:p>
            <w:pPr>
              <w:pStyle w:val="Normal"/>
              <w:spacing w:lineRule="auto" w:line="240" w:before="0" w:after="0"/>
              <w:rPr>
                <w:rFonts w:ascii="Verdana" w:hAnsi="Verdana"/>
                <w:sz w:val="20"/>
                <w:szCs w:val="20"/>
              </w:rPr>
            </w:pPr>
            <w:r>
              <w:rPr>
                <w:rFonts w:ascii="Verdana" w:hAnsi="Verdana"/>
                <w:sz w:val="20"/>
                <w:szCs w:val="20"/>
              </w:rPr>
            </w:r>
          </w:p>
        </w:tc>
        <w:tc>
          <w:tcPr>
            <w:tcW w:w="1140" w:type="dxa"/>
            <w:tcBorders>
              <w:left w:val="single" w:sz="2" w:space="0" w:color="000000"/>
              <w:bottom w:val="single" w:sz="2" w:space="0" w:color="000000"/>
            </w:tcBorders>
            <w:vAlign w:val="center"/>
          </w:tcPr>
          <w:p>
            <w:pPr>
              <w:pStyle w:val="Contedodatabela"/>
              <w:widowControl w:val="false"/>
              <w:spacing w:lineRule="auto" w:line="240" w:before="0" w:after="0"/>
              <w:jc w:val="center"/>
              <w:rPr/>
            </w:pPr>
            <w:r>
              <w:rPr>
                <w:rFonts w:ascii="Verdana" w:hAnsi="Verdana"/>
                <w:color w:val="000000"/>
                <w:sz w:val="20"/>
                <w:szCs w:val="20"/>
                <w:lang w:val="pt-BR"/>
              </w:rPr>
              <w:t>12</w:t>
            </w:r>
          </w:p>
        </w:tc>
        <w:tc>
          <w:tcPr>
            <w:tcW w:w="944" w:type="dxa"/>
            <w:tcBorders>
              <w:left w:val="single" w:sz="2" w:space="0" w:color="000000"/>
              <w:bottom w:val="single" w:sz="2" w:space="0" w:color="000000"/>
              <w:right w:val="single" w:sz="2" w:space="0" w:color="000000"/>
            </w:tcBorders>
            <w:vAlign w:val="center"/>
          </w:tcPr>
          <w:p>
            <w:pPr>
              <w:pStyle w:val="Contedodatabela"/>
              <w:widowControl w:val="false"/>
              <w:spacing w:lineRule="auto" w:line="240" w:before="0" w:after="0"/>
              <w:jc w:val="center"/>
              <w:rPr/>
            </w:pPr>
            <w:r>
              <w:rPr>
                <w:rFonts w:ascii="Verdana" w:hAnsi="Verdana"/>
                <w:sz w:val="20"/>
                <w:szCs w:val="20"/>
              </w:rPr>
              <w:t>Mês</w:t>
            </w:r>
          </w:p>
        </w:tc>
        <w:tc>
          <w:tcPr>
            <w:tcW w:w="3061" w:type="dxa"/>
            <w:tcBorders>
              <w:left w:val="single" w:sz="2" w:space="0" w:color="000000"/>
              <w:bottom w:val="single" w:sz="2" w:space="0" w:color="000000"/>
            </w:tcBorders>
            <w:tcMar>
              <w:top w:w="0" w:type="dxa"/>
              <w:left w:w="57" w:type="dxa"/>
              <w:bottom w:w="57" w:type="dxa"/>
              <w:right w:w="57" w:type="dxa"/>
            </w:tcMar>
            <w:vAlign w:val="center"/>
          </w:tcPr>
          <w:p>
            <w:pPr>
              <w:pStyle w:val="BodyText"/>
              <w:widowControl w:val="false"/>
              <w:spacing w:lineRule="auto" w:line="240" w:before="0" w:after="0"/>
              <w:jc w:val="both"/>
              <w:rPr/>
            </w:pPr>
            <w:r>
              <w:rPr>
                <w:rFonts w:ascii="Verdana" w:hAnsi="Verdana"/>
                <w:color w:val="000000"/>
                <w:sz w:val="20"/>
                <w:szCs w:val="20"/>
                <w:lang w:val="pt-BR"/>
              </w:rPr>
              <w:t>Licença de uso, suporte e manutenção do Sistema Integrado de Serviços Portal da Transparência</w:t>
            </w:r>
          </w:p>
        </w:tc>
        <w:tc>
          <w:tcPr>
            <w:tcW w:w="1424" w:type="dxa"/>
            <w:tcBorders>
              <w:left w:val="single" w:sz="2" w:space="0" w:color="000000"/>
              <w:bottom w:val="single" w:sz="2" w:space="0" w:color="000000"/>
            </w:tcBorders>
            <w:tcMar>
              <w:top w:w="0" w:type="dxa"/>
              <w:left w:w="57" w:type="dxa"/>
              <w:bottom w:w="57" w:type="dxa"/>
              <w:right w:w="57" w:type="dxa"/>
            </w:tcMar>
            <w:vAlign w:val="center"/>
          </w:tcPr>
          <w:p>
            <w:pPr>
              <w:pStyle w:val="Contedodatabela"/>
              <w:widowControl w:val="false"/>
              <w:bidi w:val="0"/>
              <w:spacing w:lineRule="auto" w:line="240" w:before="0" w:after="0"/>
              <w:ind w:hanging="0" w:left="0" w:right="0"/>
              <w:jc w:val="center"/>
              <w:rPr>
                <w:rFonts w:ascii="Verdana" w:hAnsi="Verdana"/>
                <w:sz w:val="20"/>
                <w:szCs w:val="20"/>
              </w:rPr>
            </w:pPr>
            <w:r>
              <w:rPr>
                <w:rFonts w:ascii="Verdana" w:hAnsi="Verdana"/>
                <w:sz w:val="20"/>
                <w:szCs w:val="20"/>
              </w:rPr>
            </w: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pPr>
              <w:pStyle w:val="Contedodatabela"/>
              <w:widowControl w:val="false"/>
              <w:bidi w:val="0"/>
              <w:spacing w:lineRule="auto" w:line="240" w:before="0" w:after="0"/>
              <w:ind w:hanging="0" w:left="0" w:right="0"/>
              <w:jc w:val="center"/>
              <w:rPr>
                <w:rFonts w:ascii="Verdana" w:hAnsi="Verdana"/>
                <w:sz w:val="20"/>
                <w:szCs w:val="20"/>
              </w:rPr>
            </w:pPr>
            <w:r>
              <w:rPr>
                <w:rFonts w:ascii="Verdana" w:hAnsi="Verdana"/>
                <w:sz w:val="20"/>
                <w:szCs w:val="20"/>
              </w:rPr>
            </w:r>
          </w:p>
        </w:tc>
      </w:tr>
      <w:tr>
        <w:trPr/>
        <w:tc>
          <w:tcPr>
            <w:tcW w:w="675" w:type="dxa"/>
            <w:tcBorders>
              <w:left w:val="single" w:sz="2" w:space="0" w:color="000000"/>
              <w:bottom w:val="single" w:sz="2" w:space="0" w:color="000000"/>
            </w:tcBorders>
            <w:vAlign w:val="center"/>
          </w:tcPr>
          <w:p>
            <w:pPr>
              <w:pStyle w:val="Contedodatabela"/>
              <w:widowControl w:val="false"/>
              <w:bidi w:val="0"/>
              <w:spacing w:lineRule="auto" w:line="240" w:before="0" w:after="0"/>
              <w:ind w:hanging="0" w:left="0" w:right="0"/>
              <w:jc w:val="center"/>
              <w:rPr/>
            </w:pPr>
            <w:r>
              <w:rPr>
                <w:rFonts w:ascii="Verdana" w:hAnsi="Verdana"/>
                <w:sz w:val="20"/>
                <w:szCs w:val="20"/>
              </w:rPr>
              <w:t>05</w:t>
            </w:r>
          </w:p>
        </w:tc>
        <w:tc>
          <w:tcPr>
            <w:tcW w:w="1140" w:type="dxa"/>
            <w:vMerge w:val="continue"/>
            <w:tcBorders>
              <w:left w:val="single" w:sz="2" w:space="0" w:color="000000"/>
              <w:bottom w:val="single" w:sz="2" w:space="0" w:color="000000"/>
            </w:tcBorders>
            <w:vAlign w:val="center"/>
          </w:tcPr>
          <w:p>
            <w:pPr>
              <w:pStyle w:val="Normal"/>
              <w:spacing w:lineRule="auto" w:line="240" w:before="0" w:after="0"/>
              <w:rPr>
                <w:rFonts w:ascii="Verdana" w:hAnsi="Verdana"/>
                <w:sz w:val="20"/>
                <w:szCs w:val="20"/>
              </w:rPr>
            </w:pPr>
            <w:r>
              <w:rPr>
                <w:rFonts w:ascii="Verdana" w:hAnsi="Verdana"/>
                <w:sz w:val="20"/>
                <w:szCs w:val="20"/>
              </w:rPr>
            </w:r>
          </w:p>
        </w:tc>
        <w:tc>
          <w:tcPr>
            <w:tcW w:w="1140" w:type="dxa"/>
            <w:tcBorders>
              <w:left w:val="single" w:sz="2" w:space="0" w:color="000000"/>
              <w:bottom w:val="single" w:sz="2" w:space="0" w:color="000000"/>
            </w:tcBorders>
            <w:vAlign w:val="center"/>
          </w:tcPr>
          <w:p>
            <w:pPr>
              <w:pStyle w:val="Contedodatabela"/>
              <w:widowControl w:val="false"/>
              <w:spacing w:lineRule="auto" w:line="240" w:before="0" w:after="0"/>
              <w:jc w:val="center"/>
              <w:rPr/>
            </w:pPr>
            <w:r>
              <w:rPr>
                <w:rFonts w:ascii="Verdana" w:hAnsi="Verdana"/>
                <w:sz w:val="20"/>
                <w:szCs w:val="20"/>
              </w:rPr>
              <w:t>12</w:t>
            </w:r>
          </w:p>
        </w:tc>
        <w:tc>
          <w:tcPr>
            <w:tcW w:w="944" w:type="dxa"/>
            <w:tcBorders>
              <w:left w:val="single" w:sz="2" w:space="0" w:color="000000"/>
              <w:bottom w:val="single" w:sz="2" w:space="0" w:color="000000"/>
              <w:right w:val="single" w:sz="2" w:space="0" w:color="000000"/>
            </w:tcBorders>
            <w:vAlign w:val="center"/>
          </w:tcPr>
          <w:p>
            <w:pPr>
              <w:pStyle w:val="Contedodatabela"/>
              <w:widowControl w:val="false"/>
              <w:spacing w:lineRule="auto" w:line="240" w:before="0" w:after="0"/>
              <w:jc w:val="center"/>
              <w:rPr/>
            </w:pPr>
            <w:r>
              <w:rPr>
                <w:rFonts w:ascii="Verdana" w:hAnsi="Verdana"/>
                <w:sz w:val="20"/>
                <w:szCs w:val="20"/>
              </w:rPr>
              <w:t>Mês</w:t>
            </w:r>
          </w:p>
        </w:tc>
        <w:tc>
          <w:tcPr>
            <w:tcW w:w="3061" w:type="dxa"/>
            <w:tcBorders>
              <w:left w:val="single" w:sz="2" w:space="0" w:color="000000"/>
              <w:bottom w:val="single" w:sz="2" w:space="0" w:color="000000"/>
            </w:tcBorders>
            <w:tcMar>
              <w:top w:w="0" w:type="dxa"/>
              <w:left w:w="57" w:type="dxa"/>
              <w:bottom w:w="57" w:type="dxa"/>
              <w:right w:w="57" w:type="dxa"/>
            </w:tcMar>
            <w:vAlign w:val="center"/>
          </w:tcPr>
          <w:p>
            <w:pPr>
              <w:pStyle w:val="BodyText"/>
              <w:widowControl w:val="false"/>
              <w:spacing w:lineRule="auto" w:line="240" w:before="0" w:after="0"/>
              <w:jc w:val="both"/>
              <w:rPr/>
            </w:pPr>
            <w:r>
              <w:rPr>
                <w:rFonts w:ascii="Verdana" w:hAnsi="Verdana"/>
                <w:color w:val="000000"/>
                <w:sz w:val="20"/>
                <w:szCs w:val="20"/>
                <w:lang w:val="pt-BR"/>
              </w:rPr>
              <w:t>Licença de uso, suporte e manutenção do Sistema Integrado de Gestão de Protocolos e Processos</w:t>
            </w:r>
          </w:p>
        </w:tc>
        <w:tc>
          <w:tcPr>
            <w:tcW w:w="1424" w:type="dxa"/>
            <w:tcBorders>
              <w:left w:val="single" w:sz="2" w:space="0" w:color="000000"/>
              <w:bottom w:val="single" w:sz="2" w:space="0" w:color="000000"/>
            </w:tcBorders>
            <w:tcMar>
              <w:top w:w="0" w:type="dxa"/>
              <w:left w:w="57" w:type="dxa"/>
              <w:bottom w:w="57" w:type="dxa"/>
              <w:right w:w="57" w:type="dxa"/>
            </w:tcMar>
            <w:vAlign w:val="center"/>
          </w:tcPr>
          <w:p>
            <w:pPr>
              <w:pStyle w:val="Contedodatabela"/>
              <w:widowControl w:val="false"/>
              <w:bidi w:val="0"/>
              <w:spacing w:lineRule="auto" w:line="240" w:before="0" w:after="0"/>
              <w:ind w:hanging="0" w:left="0" w:right="0"/>
              <w:jc w:val="center"/>
              <w:rPr>
                <w:rFonts w:ascii="Verdana" w:hAnsi="Verdana"/>
                <w:sz w:val="20"/>
                <w:szCs w:val="20"/>
              </w:rPr>
            </w:pPr>
            <w:r>
              <w:rPr>
                <w:rFonts w:ascii="Verdana" w:hAnsi="Verdana"/>
                <w:sz w:val="20"/>
                <w:szCs w:val="20"/>
              </w:rPr>
            </w: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pPr>
              <w:pStyle w:val="Contedodatabela"/>
              <w:widowControl w:val="false"/>
              <w:bidi w:val="0"/>
              <w:spacing w:lineRule="auto" w:line="240" w:before="0" w:after="0"/>
              <w:ind w:hanging="0" w:left="0" w:right="0"/>
              <w:jc w:val="center"/>
              <w:rPr>
                <w:rFonts w:ascii="Verdana" w:hAnsi="Verdana"/>
                <w:sz w:val="20"/>
                <w:szCs w:val="20"/>
              </w:rPr>
            </w:pPr>
            <w:r>
              <w:rPr>
                <w:rFonts w:ascii="Verdana" w:hAnsi="Verdana"/>
                <w:sz w:val="20"/>
                <w:szCs w:val="20"/>
              </w:rPr>
            </w:r>
          </w:p>
        </w:tc>
      </w:tr>
      <w:tr>
        <w:trPr/>
        <w:tc>
          <w:tcPr>
            <w:tcW w:w="6960" w:type="dxa"/>
            <w:gridSpan w:val="5"/>
            <w:tcBorders>
              <w:left w:val="single" w:sz="2" w:space="0" w:color="000000"/>
              <w:bottom w:val="single" w:sz="2" w:space="0" w:color="000000"/>
            </w:tcBorders>
            <w:vAlign w:val="center"/>
          </w:tcPr>
          <w:p>
            <w:pPr>
              <w:pStyle w:val="BodyText"/>
              <w:widowControl w:val="false"/>
              <w:bidi w:val="0"/>
              <w:spacing w:lineRule="auto" w:line="240" w:before="0" w:after="0"/>
              <w:ind w:hanging="0" w:left="0" w:right="0"/>
              <w:jc w:val="center"/>
              <w:rPr/>
            </w:pPr>
            <w:r>
              <w:rPr>
                <w:rFonts w:ascii="Verdana" w:hAnsi="Verdana"/>
                <w:b/>
                <w:bCs/>
                <w:color w:val="auto"/>
                <w:sz w:val="20"/>
                <w:szCs w:val="20"/>
              </w:rPr>
              <w:t>TOTAL MÓDULOS / SISTEMAS</w:t>
            </w:r>
          </w:p>
        </w:tc>
        <w:tc>
          <w:tcPr>
            <w:tcW w:w="1424" w:type="dxa"/>
            <w:tcBorders>
              <w:left w:val="single" w:sz="2" w:space="0" w:color="000000"/>
              <w:bottom w:val="single" w:sz="2" w:space="0" w:color="000000"/>
            </w:tcBorders>
            <w:tcMar>
              <w:top w:w="0" w:type="dxa"/>
              <w:left w:w="57" w:type="dxa"/>
              <w:bottom w:w="57" w:type="dxa"/>
              <w:right w:w="57" w:type="dxa"/>
            </w:tcMar>
            <w:vAlign w:val="center"/>
          </w:tcPr>
          <w:p>
            <w:pPr>
              <w:pStyle w:val="BodyText"/>
              <w:widowControl w:val="false"/>
              <w:spacing w:lineRule="auto" w:line="240" w:before="0" w:after="0"/>
              <w:jc w:val="center"/>
              <w:rPr>
                <w:rFonts w:ascii="Verdana" w:hAnsi="Verdana"/>
                <w:b/>
                <w:bCs/>
                <w:color w:val="000000"/>
                <w:sz w:val="20"/>
                <w:szCs w:val="20"/>
                <w:lang w:val="pt-BR"/>
              </w:rPr>
            </w:pPr>
            <w:r>
              <w:rPr>
                <w:rFonts w:ascii="Verdana" w:hAnsi="Verdana"/>
                <w:b/>
                <w:bCs/>
                <w:color w:val="000000"/>
                <w:sz w:val="20"/>
                <w:szCs w:val="20"/>
                <w:lang w:val="pt-BR"/>
              </w:rPr>
            </w: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pPr>
              <w:pStyle w:val="BodyText"/>
              <w:widowControl w:val="false"/>
              <w:spacing w:lineRule="auto" w:line="240" w:before="0" w:after="0"/>
              <w:jc w:val="center"/>
              <w:rPr>
                <w:rFonts w:ascii="Verdana" w:hAnsi="Verdana"/>
                <w:b/>
                <w:bCs/>
                <w:color w:val="000000"/>
                <w:sz w:val="20"/>
                <w:szCs w:val="20"/>
                <w:lang w:val="pt-BR"/>
              </w:rPr>
            </w:pPr>
            <w:r>
              <w:rPr>
                <w:rFonts w:ascii="Verdana" w:hAnsi="Verdana"/>
                <w:b/>
                <w:bCs/>
                <w:color w:val="000000"/>
                <w:sz w:val="20"/>
                <w:szCs w:val="20"/>
                <w:lang w:val="pt-BR"/>
              </w:rPr>
            </w:r>
          </w:p>
        </w:tc>
      </w:tr>
      <w:tr>
        <w:trPr/>
        <w:tc>
          <w:tcPr>
            <w:tcW w:w="9870" w:type="dxa"/>
            <w:gridSpan w:val="7"/>
            <w:tcBorders>
              <w:left w:val="single" w:sz="2" w:space="0" w:color="000000"/>
              <w:bottom w:val="single" w:sz="2" w:space="0" w:color="000000"/>
              <w:right w:val="single" w:sz="2" w:space="0" w:color="000000"/>
            </w:tcBorders>
            <w:vAlign w:val="center"/>
          </w:tcPr>
          <w:p>
            <w:pPr>
              <w:pStyle w:val="BodyText"/>
              <w:widowControl w:val="false"/>
              <w:spacing w:lineRule="auto" w:line="240" w:before="0" w:after="0"/>
              <w:jc w:val="center"/>
              <w:rPr/>
            </w:pPr>
            <w:r>
              <w:rPr>
                <w:rFonts w:ascii="Verdana" w:hAnsi="Verdana"/>
                <w:b/>
                <w:color w:val="000000"/>
                <w:sz w:val="20"/>
                <w:szCs w:val="20"/>
                <w:lang w:val="pt-BR"/>
              </w:rPr>
              <w:t>AMBIENTE TECNOLÓGICO</w:t>
            </w:r>
          </w:p>
        </w:tc>
      </w:tr>
      <w:tr>
        <w:trPr/>
        <w:tc>
          <w:tcPr>
            <w:tcW w:w="675" w:type="dxa"/>
            <w:tcBorders>
              <w:left w:val="single" w:sz="2" w:space="0" w:color="000000"/>
              <w:bottom w:val="single" w:sz="2" w:space="0" w:color="000000"/>
            </w:tcBorders>
            <w:vAlign w:val="center"/>
          </w:tcPr>
          <w:p>
            <w:pPr>
              <w:pStyle w:val="Normal"/>
              <w:widowControl w:val="false"/>
              <w:spacing w:lineRule="auto" w:line="240" w:before="0" w:after="0"/>
              <w:jc w:val="center"/>
              <w:rPr/>
            </w:pPr>
            <w:r>
              <w:rPr>
                <w:rFonts w:cs="Times New Roman" w:ascii="Verdana" w:hAnsi="Verdana"/>
                <w:b/>
                <w:bCs/>
                <w:sz w:val="20"/>
                <w:szCs w:val="20"/>
              </w:rPr>
              <w:t>Item</w:t>
            </w:r>
          </w:p>
        </w:tc>
        <w:tc>
          <w:tcPr>
            <w:tcW w:w="1140" w:type="dxa"/>
            <w:tcBorders>
              <w:left w:val="single" w:sz="2" w:space="0" w:color="000000"/>
              <w:bottom w:val="single" w:sz="2" w:space="0" w:color="000000"/>
            </w:tcBorders>
            <w:vAlign w:val="center"/>
          </w:tcPr>
          <w:p>
            <w:pPr>
              <w:pStyle w:val="Normal"/>
              <w:widowControl w:val="false"/>
              <w:spacing w:lineRule="auto" w:line="240" w:before="0" w:after="0"/>
              <w:jc w:val="center"/>
              <w:rPr/>
            </w:pPr>
            <w:r>
              <w:rPr>
                <w:rFonts w:cs="Times New Roman" w:ascii="Verdana" w:hAnsi="Verdana"/>
                <w:b/>
                <w:bCs/>
                <w:sz w:val="20"/>
                <w:szCs w:val="20"/>
              </w:rPr>
              <w:t>Fonte Pesquisa</w:t>
            </w:r>
          </w:p>
        </w:tc>
        <w:tc>
          <w:tcPr>
            <w:tcW w:w="1140" w:type="dxa"/>
            <w:tcBorders>
              <w:left w:val="single" w:sz="2" w:space="0" w:color="000000"/>
              <w:bottom w:val="single" w:sz="2" w:space="0" w:color="000000"/>
            </w:tcBorders>
            <w:vAlign w:val="center"/>
          </w:tcPr>
          <w:p>
            <w:pPr>
              <w:pStyle w:val="Normal"/>
              <w:widowControl w:val="false"/>
              <w:spacing w:lineRule="auto" w:line="240" w:before="0" w:after="0"/>
              <w:jc w:val="center"/>
              <w:rPr/>
            </w:pPr>
            <w:r>
              <w:rPr>
                <w:rFonts w:cs="Times New Roman" w:ascii="Verdana" w:hAnsi="Verdana"/>
                <w:b/>
                <w:bCs/>
                <w:sz w:val="20"/>
                <w:szCs w:val="20"/>
              </w:rPr>
              <w:t>Quant. Máxima Prevista</w:t>
            </w:r>
          </w:p>
        </w:tc>
        <w:tc>
          <w:tcPr>
            <w:tcW w:w="944" w:type="dxa"/>
            <w:tcBorders>
              <w:left w:val="single" w:sz="2" w:space="0" w:color="000000"/>
              <w:bottom w:val="single" w:sz="2" w:space="0" w:color="000000"/>
              <w:right w:val="single" w:sz="2" w:space="0" w:color="000000"/>
            </w:tcBorders>
            <w:vAlign w:val="center"/>
          </w:tcPr>
          <w:p>
            <w:pPr>
              <w:pStyle w:val="Contedodatabela"/>
              <w:widowControl w:val="false"/>
              <w:spacing w:lineRule="auto" w:line="240" w:before="0" w:after="0"/>
              <w:jc w:val="center"/>
              <w:rPr/>
            </w:pPr>
            <w:r>
              <w:rPr>
                <w:rFonts w:ascii="Verdana" w:hAnsi="Verdana"/>
                <w:b/>
                <w:bCs/>
                <w:sz w:val="20"/>
                <w:szCs w:val="20"/>
              </w:rPr>
              <w:t>Unid.</w:t>
            </w:r>
          </w:p>
        </w:tc>
        <w:tc>
          <w:tcPr>
            <w:tcW w:w="3061" w:type="dxa"/>
            <w:tcBorders>
              <w:left w:val="single" w:sz="2" w:space="0" w:color="000000"/>
              <w:bottom w:val="single" w:sz="2" w:space="0" w:color="000000"/>
            </w:tcBorders>
            <w:tcMar>
              <w:top w:w="0" w:type="dxa"/>
              <w:left w:w="57" w:type="dxa"/>
              <w:bottom w:w="57" w:type="dxa"/>
              <w:right w:w="57" w:type="dxa"/>
            </w:tcMar>
            <w:vAlign w:val="center"/>
          </w:tcPr>
          <w:p>
            <w:pPr>
              <w:pStyle w:val="Contedodatabela"/>
              <w:widowControl w:val="false"/>
              <w:spacing w:lineRule="auto" w:line="240" w:before="0" w:after="0"/>
              <w:jc w:val="center"/>
              <w:rPr/>
            </w:pPr>
            <w:r>
              <w:rPr>
                <w:rFonts w:ascii="Verdana" w:hAnsi="Verdana"/>
                <w:b/>
                <w:bCs/>
                <w:sz w:val="20"/>
                <w:szCs w:val="20"/>
              </w:rPr>
              <w:t>Descrição</w:t>
            </w:r>
          </w:p>
        </w:tc>
        <w:tc>
          <w:tcPr>
            <w:tcW w:w="1424" w:type="dxa"/>
            <w:tcBorders>
              <w:left w:val="single" w:sz="2" w:space="0" w:color="000000"/>
              <w:bottom w:val="single" w:sz="2" w:space="0" w:color="000000"/>
            </w:tcBorders>
            <w:tcMar>
              <w:top w:w="0" w:type="dxa"/>
              <w:left w:w="57" w:type="dxa"/>
              <w:bottom w:w="57" w:type="dxa"/>
              <w:right w:w="57" w:type="dxa"/>
            </w:tcMar>
            <w:vAlign w:val="center"/>
          </w:tcPr>
          <w:p>
            <w:pPr>
              <w:pStyle w:val="Normal"/>
              <w:widowControl w:val="false"/>
              <w:spacing w:lineRule="auto" w:line="240" w:before="0" w:after="0"/>
              <w:jc w:val="center"/>
              <w:rPr/>
            </w:pPr>
            <w:r>
              <w:rPr>
                <w:rFonts w:cs="Times New Roman" w:ascii="Verdana" w:hAnsi="Verdana"/>
                <w:b/>
                <w:bCs/>
                <w:sz w:val="20"/>
                <w:szCs w:val="20"/>
              </w:rPr>
              <w:t>Valor Unitário Estimado</w:t>
            </w: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pPr>
              <w:pStyle w:val="Normal"/>
              <w:widowControl w:val="false"/>
              <w:spacing w:lineRule="auto" w:line="240" w:before="0" w:after="0"/>
              <w:jc w:val="center"/>
              <w:rPr/>
            </w:pPr>
            <w:r>
              <w:rPr>
                <w:rFonts w:cs="Times New Roman" w:ascii="Verdana" w:hAnsi="Verdana"/>
                <w:b/>
                <w:bCs/>
                <w:sz w:val="20"/>
                <w:szCs w:val="20"/>
              </w:rPr>
              <w:t>Valor Total Estimado</w:t>
            </w:r>
          </w:p>
        </w:tc>
      </w:tr>
      <w:tr>
        <w:trPr/>
        <w:tc>
          <w:tcPr>
            <w:tcW w:w="675" w:type="dxa"/>
            <w:tcBorders>
              <w:left w:val="single" w:sz="2" w:space="0" w:color="000000"/>
              <w:bottom w:val="single" w:sz="2" w:space="0" w:color="000000"/>
            </w:tcBorders>
            <w:vAlign w:val="center"/>
          </w:tcPr>
          <w:p>
            <w:pPr>
              <w:pStyle w:val="Contedodatabela"/>
              <w:widowControl w:val="false"/>
              <w:bidi w:val="0"/>
              <w:spacing w:lineRule="auto" w:line="240" w:before="0" w:after="0"/>
              <w:ind w:hanging="0" w:left="0" w:right="0"/>
              <w:jc w:val="center"/>
              <w:rPr/>
            </w:pPr>
            <w:r>
              <w:rPr>
                <w:rFonts w:ascii="Verdana" w:hAnsi="Verdana"/>
                <w:sz w:val="20"/>
                <w:szCs w:val="20"/>
              </w:rPr>
              <w:t>01</w:t>
            </w:r>
          </w:p>
        </w:tc>
        <w:tc>
          <w:tcPr>
            <w:tcW w:w="1140" w:type="dxa"/>
            <w:tcBorders>
              <w:left w:val="single" w:sz="2" w:space="0" w:color="000000"/>
              <w:bottom w:val="single" w:sz="2" w:space="0" w:color="000000"/>
            </w:tcBorders>
            <w:vAlign w:val="center"/>
          </w:tcPr>
          <w:p>
            <w:pPr>
              <w:pStyle w:val="Contedodatabela"/>
              <w:widowControl w:val="false"/>
              <w:spacing w:lineRule="auto" w:line="240" w:before="0" w:after="0"/>
              <w:jc w:val="center"/>
              <w:rPr/>
            </w:pPr>
            <w:r>
              <w:rPr>
                <w:rFonts w:cs="Times New Roman" w:ascii="Verdana" w:hAnsi="Verdana"/>
                <w:sz w:val="20"/>
                <w:szCs w:val="20"/>
              </w:rPr>
              <w:t>PNCP</w:t>
            </w:r>
          </w:p>
        </w:tc>
        <w:tc>
          <w:tcPr>
            <w:tcW w:w="1140" w:type="dxa"/>
            <w:tcBorders>
              <w:left w:val="single" w:sz="2" w:space="0" w:color="000000"/>
              <w:bottom w:val="single" w:sz="2" w:space="0" w:color="000000"/>
            </w:tcBorders>
            <w:vAlign w:val="center"/>
          </w:tcPr>
          <w:p>
            <w:pPr>
              <w:pStyle w:val="Contedodatabela"/>
              <w:widowControl w:val="false"/>
              <w:spacing w:lineRule="auto" w:line="240" w:before="0" w:after="0"/>
              <w:jc w:val="center"/>
              <w:rPr/>
            </w:pPr>
            <w:r>
              <w:rPr>
                <w:rFonts w:ascii="Verdana" w:hAnsi="Verdana"/>
                <w:color w:val="000000"/>
                <w:sz w:val="20"/>
                <w:szCs w:val="20"/>
                <w:lang w:val="pt-BR"/>
              </w:rPr>
              <w:t>12</w:t>
            </w:r>
          </w:p>
        </w:tc>
        <w:tc>
          <w:tcPr>
            <w:tcW w:w="944" w:type="dxa"/>
            <w:tcBorders>
              <w:left w:val="single" w:sz="2" w:space="0" w:color="000000"/>
              <w:bottom w:val="single" w:sz="2" w:space="0" w:color="000000"/>
              <w:right w:val="single" w:sz="2" w:space="0" w:color="000000"/>
            </w:tcBorders>
            <w:vAlign w:val="center"/>
          </w:tcPr>
          <w:p>
            <w:pPr>
              <w:pStyle w:val="Contedodatabela"/>
              <w:widowControl w:val="false"/>
              <w:spacing w:lineRule="auto" w:line="240" w:before="0" w:after="0"/>
              <w:jc w:val="center"/>
              <w:rPr/>
            </w:pPr>
            <w:r>
              <w:rPr>
                <w:rFonts w:ascii="Verdana" w:hAnsi="Verdana"/>
                <w:sz w:val="20"/>
                <w:szCs w:val="20"/>
              </w:rPr>
              <w:t>Mês</w:t>
            </w:r>
          </w:p>
        </w:tc>
        <w:tc>
          <w:tcPr>
            <w:tcW w:w="3061" w:type="dxa"/>
            <w:tcBorders>
              <w:left w:val="single" w:sz="2" w:space="0" w:color="000000"/>
              <w:bottom w:val="single" w:sz="2" w:space="0" w:color="000000"/>
            </w:tcBorders>
            <w:tcMar>
              <w:top w:w="0" w:type="dxa"/>
              <w:left w:w="57" w:type="dxa"/>
              <w:bottom w:w="57" w:type="dxa"/>
              <w:right w:w="57" w:type="dxa"/>
            </w:tcMar>
            <w:vAlign w:val="center"/>
          </w:tcPr>
          <w:p>
            <w:pPr>
              <w:pStyle w:val="BodyText"/>
              <w:widowControl w:val="false"/>
              <w:spacing w:lineRule="auto" w:line="240" w:before="0" w:after="0"/>
              <w:jc w:val="both"/>
              <w:rPr/>
            </w:pPr>
            <w:r>
              <w:rPr>
                <w:rFonts w:ascii="Verdana" w:hAnsi="Verdana"/>
                <w:color w:val="000000"/>
                <w:sz w:val="20"/>
                <w:szCs w:val="20"/>
                <w:lang w:val="pt-BR"/>
              </w:rPr>
              <w:t>Ambiente Tecnológico – Data Center para Hospedagem dos Sistemas Contratados</w:t>
            </w:r>
          </w:p>
        </w:tc>
        <w:tc>
          <w:tcPr>
            <w:tcW w:w="1424" w:type="dxa"/>
            <w:tcBorders>
              <w:left w:val="single" w:sz="2" w:space="0" w:color="000000"/>
              <w:bottom w:val="single" w:sz="2" w:space="0" w:color="000000"/>
            </w:tcBorders>
            <w:tcMar>
              <w:top w:w="0" w:type="dxa"/>
              <w:left w:w="57" w:type="dxa"/>
              <w:bottom w:w="57" w:type="dxa"/>
              <w:right w:w="57" w:type="dxa"/>
            </w:tcMar>
            <w:vAlign w:val="center"/>
          </w:tcPr>
          <w:p>
            <w:pPr>
              <w:pStyle w:val="Contedodatabela"/>
              <w:widowControl w:val="false"/>
              <w:spacing w:lineRule="auto" w:line="240" w:before="0" w:after="0"/>
              <w:jc w:val="center"/>
              <w:rPr>
                <w:rFonts w:ascii="Verdana" w:hAnsi="Verdana" w:cs="Times New Roman"/>
                <w:sz w:val="20"/>
                <w:szCs w:val="20"/>
              </w:rPr>
            </w:pPr>
            <w:r>
              <w:rPr>
                <w:rFonts w:cs="Times New Roman" w:ascii="Verdana" w:hAnsi="Verdana"/>
                <w:sz w:val="20"/>
                <w:szCs w:val="20"/>
              </w:rPr>
            </w: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pPr>
              <w:pStyle w:val="Contedodatabela"/>
              <w:widowControl w:val="false"/>
              <w:spacing w:lineRule="auto" w:line="240" w:before="0" w:after="0"/>
              <w:jc w:val="center"/>
              <w:rPr>
                <w:rFonts w:ascii="Verdana" w:hAnsi="Verdana" w:cs="Times New Roman"/>
                <w:sz w:val="20"/>
                <w:szCs w:val="20"/>
              </w:rPr>
            </w:pPr>
            <w:r>
              <w:rPr>
                <w:rFonts w:cs="Times New Roman" w:ascii="Verdana" w:hAnsi="Verdana"/>
                <w:sz w:val="20"/>
                <w:szCs w:val="20"/>
              </w:rPr>
            </w:r>
          </w:p>
        </w:tc>
      </w:tr>
      <w:tr>
        <w:trPr/>
        <w:tc>
          <w:tcPr>
            <w:tcW w:w="6960" w:type="dxa"/>
            <w:gridSpan w:val="5"/>
            <w:tcBorders>
              <w:left w:val="single" w:sz="2" w:space="0" w:color="000000"/>
              <w:bottom w:val="single" w:sz="2" w:space="0" w:color="000000"/>
            </w:tcBorders>
            <w:vAlign w:val="center"/>
          </w:tcPr>
          <w:p>
            <w:pPr>
              <w:pStyle w:val="Contedodatabela"/>
              <w:widowControl w:val="false"/>
              <w:bidi w:val="0"/>
              <w:spacing w:lineRule="auto" w:line="240" w:before="0" w:after="0"/>
              <w:ind w:hanging="0" w:left="0" w:right="0"/>
              <w:jc w:val="center"/>
              <w:rPr/>
            </w:pPr>
            <w:r>
              <w:rPr>
                <w:rFonts w:ascii="Verdana" w:hAnsi="Verdana"/>
                <w:b/>
                <w:bCs/>
                <w:sz w:val="20"/>
                <w:szCs w:val="20"/>
              </w:rPr>
              <w:t xml:space="preserve">TOTAL </w:t>
            </w:r>
            <w:r>
              <w:rPr>
                <w:rFonts w:ascii="Verdana" w:hAnsi="Verdana"/>
                <w:b/>
                <w:bCs/>
                <w:color w:val="000000"/>
                <w:sz w:val="20"/>
                <w:szCs w:val="20"/>
                <w:lang w:val="pt-BR"/>
              </w:rPr>
              <w:t>AMBIENTE TECNOLÓGICO</w:t>
            </w:r>
          </w:p>
        </w:tc>
        <w:tc>
          <w:tcPr>
            <w:tcW w:w="1424" w:type="dxa"/>
            <w:tcBorders>
              <w:left w:val="single" w:sz="2" w:space="0" w:color="000000"/>
              <w:bottom w:val="single" w:sz="2" w:space="0" w:color="000000"/>
            </w:tcBorders>
            <w:tcMar>
              <w:top w:w="0" w:type="dxa"/>
              <w:left w:w="57" w:type="dxa"/>
              <w:bottom w:w="57" w:type="dxa"/>
              <w:right w:w="57" w:type="dxa"/>
            </w:tcMar>
            <w:vAlign w:val="center"/>
          </w:tcPr>
          <w:p>
            <w:pPr>
              <w:pStyle w:val="Contedodatabela"/>
              <w:widowControl w:val="false"/>
              <w:spacing w:lineRule="auto" w:line="240" w:before="0" w:after="0"/>
              <w:jc w:val="center"/>
              <w:rPr>
                <w:rFonts w:ascii="Verdana" w:hAnsi="Verdana" w:cs="Times New Roman"/>
                <w:b/>
                <w:bCs/>
                <w:sz w:val="20"/>
                <w:szCs w:val="20"/>
              </w:rPr>
            </w:pPr>
            <w:r>
              <w:rPr>
                <w:rFonts w:cs="Times New Roman" w:ascii="Verdana" w:hAnsi="Verdana"/>
                <w:b/>
                <w:bCs/>
                <w:sz w:val="20"/>
                <w:szCs w:val="20"/>
              </w:rPr>
            </w: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pPr>
              <w:pStyle w:val="Contedodatabela"/>
              <w:widowControl w:val="false"/>
              <w:spacing w:lineRule="auto" w:line="240" w:before="0" w:after="0"/>
              <w:jc w:val="center"/>
              <w:rPr>
                <w:rFonts w:ascii="Verdana" w:hAnsi="Verdana" w:cs="Times New Roman"/>
                <w:b/>
                <w:bCs/>
                <w:sz w:val="20"/>
                <w:szCs w:val="20"/>
              </w:rPr>
            </w:pPr>
            <w:r>
              <w:rPr>
                <w:rFonts w:cs="Times New Roman" w:ascii="Verdana" w:hAnsi="Verdana"/>
                <w:b/>
                <w:bCs/>
                <w:sz w:val="20"/>
                <w:szCs w:val="20"/>
              </w:rPr>
            </w:r>
          </w:p>
        </w:tc>
      </w:tr>
      <w:tr>
        <w:trPr>
          <w:trHeight w:val="355" w:hRule="atLeast"/>
        </w:trPr>
        <w:tc>
          <w:tcPr>
            <w:tcW w:w="9870" w:type="dxa"/>
            <w:gridSpan w:val="7"/>
            <w:tcBorders>
              <w:left w:val="single" w:sz="2" w:space="0" w:color="000000"/>
              <w:bottom w:val="single" w:sz="2" w:space="0" w:color="000000"/>
              <w:right w:val="single" w:sz="2" w:space="0" w:color="000000"/>
            </w:tcBorders>
            <w:vAlign w:val="center"/>
          </w:tcPr>
          <w:p>
            <w:pPr>
              <w:pStyle w:val="Contedodatabela"/>
              <w:widowControl w:val="false"/>
              <w:bidi w:val="0"/>
              <w:spacing w:lineRule="auto" w:line="240" w:before="0" w:after="0"/>
              <w:ind w:hanging="0" w:left="0" w:right="0"/>
              <w:jc w:val="center"/>
              <w:rPr>
                <w:rFonts w:ascii="Verdana" w:hAnsi="Verdana"/>
                <w:b/>
                <w:bCs/>
                <w:sz w:val="20"/>
                <w:szCs w:val="20"/>
              </w:rPr>
            </w:pPr>
            <w:r>
              <w:rPr>
                <w:rFonts w:ascii="Verdana" w:hAnsi="Verdana"/>
                <w:b/>
                <w:bCs/>
                <w:sz w:val="20"/>
                <w:szCs w:val="20"/>
              </w:rPr>
            </w:r>
          </w:p>
        </w:tc>
      </w:tr>
      <w:tr>
        <w:trPr/>
        <w:tc>
          <w:tcPr>
            <w:tcW w:w="6960" w:type="dxa"/>
            <w:gridSpan w:val="5"/>
            <w:tcBorders>
              <w:left w:val="single" w:sz="2" w:space="0" w:color="000000"/>
              <w:bottom w:val="single" w:sz="2" w:space="0" w:color="000000"/>
            </w:tcBorders>
            <w:vAlign w:val="center"/>
          </w:tcPr>
          <w:p>
            <w:pPr>
              <w:pStyle w:val="Contedodatabela"/>
              <w:widowControl w:val="false"/>
              <w:bidi w:val="0"/>
              <w:spacing w:lineRule="auto" w:line="240" w:before="0" w:after="0"/>
              <w:ind w:hanging="0" w:left="0" w:right="0"/>
              <w:jc w:val="center"/>
              <w:rPr/>
            </w:pPr>
            <w:r>
              <w:rPr>
                <w:rFonts w:ascii="Verdana" w:hAnsi="Verdana"/>
                <w:b/>
                <w:bCs/>
                <w:sz w:val="20"/>
                <w:szCs w:val="20"/>
              </w:rPr>
              <w:t>TOTAL SERVIÇOS MENSAIS</w:t>
            </w:r>
          </w:p>
        </w:tc>
        <w:tc>
          <w:tcPr>
            <w:tcW w:w="2910"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pPr>
              <w:pStyle w:val="Contedodatabela"/>
              <w:widowControl w:val="false"/>
              <w:spacing w:lineRule="auto" w:line="240" w:before="0" w:after="0"/>
              <w:jc w:val="center"/>
              <w:rPr>
                <w:rFonts w:ascii="Verdana" w:hAnsi="Verdana" w:cs="Times New Roman"/>
                <w:b/>
                <w:bCs/>
                <w:sz w:val="20"/>
                <w:szCs w:val="20"/>
              </w:rPr>
            </w:pPr>
            <w:r>
              <w:rPr>
                <w:rFonts w:cs="Times New Roman" w:ascii="Verdana" w:hAnsi="Verdana"/>
                <w:b/>
                <w:bCs/>
                <w:sz w:val="20"/>
                <w:szCs w:val="20"/>
              </w:rPr>
            </w:r>
          </w:p>
        </w:tc>
      </w:tr>
      <w:tr>
        <w:trPr/>
        <w:tc>
          <w:tcPr>
            <w:tcW w:w="6960" w:type="dxa"/>
            <w:gridSpan w:val="5"/>
            <w:tcBorders>
              <w:left w:val="single" w:sz="2" w:space="0" w:color="000000"/>
              <w:bottom w:val="single" w:sz="2" w:space="0" w:color="000000"/>
            </w:tcBorders>
            <w:vAlign w:val="center"/>
          </w:tcPr>
          <w:p>
            <w:pPr>
              <w:pStyle w:val="Contedodatabela"/>
              <w:widowControl w:val="false"/>
              <w:bidi w:val="0"/>
              <w:spacing w:lineRule="auto" w:line="240" w:before="0" w:after="0"/>
              <w:ind w:hanging="0" w:left="0" w:right="0"/>
              <w:jc w:val="center"/>
              <w:rPr/>
            </w:pPr>
            <w:r>
              <w:rPr>
                <w:rFonts w:ascii="Verdana" w:hAnsi="Verdana"/>
                <w:b/>
                <w:bCs/>
                <w:sz w:val="20"/>
                <w:szCs w:val="20"/>
              </w:rPr>
              <w:t>TOTAL ANUAL (SEM SERVIÇOS DE IMPLANTAÇÃO)</w:t>
            </w:r>
          </w:p>
        </w:tc>
        <w:tc>
          <w:tcPr>
            <w:tcW w:w="2910"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pPr>
              <w:pStyle w:val="BodyText"/>
              <w:widowControl w:val="false"/>
              <w:spacing w:lineRule="auto" w:line="240" w:before="0" w:after="0"/>
              <w:jc w:val="center"/>
              <w:rPr>
                <w:rFonts w:ascii="Verdana" w:hAnsi="Verdana" w:cs="Times New Roman"/>
                <w:b/>
                <w:bCs/>
                <w:color w:val="000000"/>
                <w:sz w:val="20"/>
                <w:szCs w:val="20"/>
                <w:lang w:val="pt-BR"/>
              </w:rPr>
            </w:pPr>
            <w:r>
              <w:rPr>
                <w:rFonts w:cs="Times New Roman" w:ascii="Verdana" w:hAnsi="Verdana"/>
                <w:b/>
                <w:bCs/>
                <w:color w:val="000000"/>
                <w:sz w:val="20"/>
                <w:szCs w:val="20"/>
                <w:lang w:val="pt-BR"/>
              </w:rPr>
            </w:r>
          </w:p>
        </w:tc>
      </w:tr>
      <w:tr>
        <w:trPr/>
        <w:tc>
          <w:tcPr>
            <w:tcW w:w="6960" w:type="dxa"/>
            <w:gridSpan w:val="5"/>
            <w:tcBorders>
              <w:left w:val="single" w:sz="2" w:space="0" w:color="000000"/>
              <w:bottom w:val="single" w:sz="2" w:space="0" w:color="000000"/>
            </w:tcBorders>
            <w:vAlign w:val="center"/>
          </w:tcPr>
          <w:p>
            <w:pPr>
              <w:pStyle w:val="Contedodatabela"/>
              <w:widowControl w:val="false"/>
              <w:bidi w:val="0"/>
              <w:spacing w:lineRule="auto" w:line="240" w:before="0" w:after="0"/>
              <w:ind w:hanging="0" w:left="0" w:right="0"/>
              <w:jc w:val="center"/>
              <w:rPr/>
            </w:pPr>
            <w:r>
              <w:rPr>
                <w:rFonts w:ascii="Verdana" w:hAnsi="Verdana"/>
                <w:b/>
                <w:bCs/>
                <w:sz w:val="20"/>
                <w:szCs w:val="20"/>
              </w:rPr>
              <w:t>TOTAL GLOBAL</w:t>
            </w:r>
          </w:p>
        </w:tc>
        <w:tc>
          <w:tcPr>
            <w:tcW w:w="2910"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pPr>
              <w:pStyle w:val="Contedodatabela"/>
              <w:widowControl w:val="false"/>
              <w:spacing w:lineRule="auto" w:line="240" w:before="0" w:after="0"/>
              <w:jc w:val="center"/>
              <w:rPr>
                <w:rFonts w:ascii="Verdana" w:hAnsi="Verdana" w:cs="Times New Roman"/>
                <w:b/>
                <w:bCs/>
                <w:sz w:val="20"/>
                <w:szCs w:val="20"/>
              </w:rPr>
            </w:pPr>
            <w:r>
              <w:rPr>
                <w:rFonts w:cs="Times New Roman" w:ascii="Verdana" w:hAnsi="Verdana"/>
                <w:b/>
                <w:bCs/>
                <w:sz w:val="20"/>
                <w:szCs w:val="20"/>
              </w:rPr>
            </w:r>
          </w:p>
        </w:tc>
      </w:tr>
    </w:tbl>
    <w:p>
      <w:pPr>
        <w:pStyle w:val="Normal"/>
        <w:spacing w:lineRule="auto" w:line="276" w:before="0" w:after="0"/>
        <w:jc w:val="both"/>
        <w:rPr>
          <w:rFonts w:eastAsia="Times New Roman"/>
          <w:b/>
          <w:lang w:eastAsia="ar-SA"/>
        </w:rPr>
      </w:pPr>
      <w:r>
        <w:rPr>
          <w:rFonts w:eastAsia="Times New Roman"/>
          <w:b/>
          <w:lang w:eastAsia="ar-SA"/>
        </w:rPr>
      </w:r>
    </w:p>
    <w:p>
      <w:pPr>
        <w:pStyle w:val="Normal"/>
        <w:spacing w:lineRule="auto" w:line="276" w:before="57" w:after="57"/>
        <w:jc w:val="both"/>
        <w:rPr>
          <w:rFonts w:ascii="Verdana" w:hAnsi="Verdana"/>
          <w:sz w:val="20"/>
          <w:szCs w:val="20"/>
        </w:rPr>
      </w:pPr>
      <w:r>
        <w:rPr>
          <w:rFonts w:eastAsia="Times New Roman" w:ascii="Verdana" w:hAnsi="Verdana"/>
          <w:b/>
          <w:sz w:val="20"/>
          <w:szCs w:val="20"/>
          <w:lang w:eastAsia="ar-SA"/>
        </w:rPr>
        <w:t xml:space="preserve">5.3 </w:t>
      </w:r>
      <w:r>
        <w:rPr>
          <w:rFonts w:eastAsia="Times New Roman" w:ascii="Verdana" w:hAnsi="Verdana"/>
          <w:sz w:val="20"/>
          <w:szCs w:val="20"/>
          <w:lang w:eastAsia="ar-SA"/>
        </w:rPr>
        <w:t>Caso haja descumprimento de qualquer item, seja na totalidade ou parcialmente, será descontado o valor correspondente a este, no ato do pagamento referente ao mês em que houver tal ocorrência.</w:t>
      </w:r>
    </w:p>
    <w:p>
      <w:pPr>
        <w:pStyle w:val="Normal"/>
        <w:spacing w:lineRule="auto" w:line="276" w:before="57" w:after="57"/>
        <w:jc w:val="both"/>
        <w:rPr>
          <w:rFonts w:ascii="Verdana" w:hAnsi="Verdana"/>
          <w:sz w:val="20"/>
          <w:szCs w:val="20"/>
        </w:rPr>
      </w:pPr>
      <w:r>
        <w:rPr>
          <w:rFonts w:eastAsia="Times New Roman" w:ascii="Verdana" w:hAnsi="Verdana"/>
          <w:b/>
          <w:sz w:val="20"/>
          <w:szCs w:val="20"/>
          <w:lang w:eastAsia="ar-SA"/>
        </w:rPr>
        <w:t xml:space="preserve">5.4 </w:t>
      </w:r>
      <w:r>
        <w:rPr>
          <w:rFonts w:eastAsia="Times New Roman" w:ascii="Verdana" w:hAnsi="Verdana"/>
          <w:sz w:val="20"/>
          <w:szCs w:val="20"/>
          <w:lang w:eastAsia="ar-SA"/>
        </w:rPr>
        <w:t>Nos casos de impedimento da prestação dos serviços nos termos ora pactuados, a CONTRATADA não fará jus a qualquer recebimento, salvo por razões de caso fortuito, força maior ou fatos de terceiros devidamente comprovados e resolvidos de comum acordo entre as partes.</w:t>
      </w:r>
    </w:p>
    <w:p>
      <w:pPr>
        <w:pStyle w:val="Normal"/>
        <w:tabs>
          <w:tab w:val="clear" w:pos="708"/>
          <w:tab w:val="left" w:pos="540" w:leader="none"/>
        </w:tabs>
        <w:spacing w:lineRule="auto" w:line="276" w:before="57" w:after="57"/>
        <w:jc w:val="both"/>
        <w:rPr>
          <w:rFonts w:ascii="Verdana" w:hAnsi="Verdana"/>
          <w:sz w:val="20"/>
          <w:szCs w:val="20"/>
        </w:rPr>
      </w:pPr>
      <w:r>
        <w:rPr>
          <w:rFonts w:eastAsia="Times New Roman" w:ascii="Verdana" w:hAnsi="Verdana"/>
          <w:b/>
          <w:sz w:val="20"/>
          <w:szCs w:val="20"/>
          <w:lang w:eastAsia="ar-SA"/>
        </w:rPr>
        <w:t xml:space="preserve">5.5 </w:t>
      </w:r>
      <w:r>
        <w:rPr>
          <w:rFonts w:eastAsia="Times New Roman" w:ascii="Verdana" w:hAnsi="Verdana"/>
          <w:sz w:val="20"/>
          <w:szCs w:val="20"/>
          <w:lang w:eastAsia="ar-SA"/>
        </w:rPr>
        <w:t>No preço já estão incluídos todos os custos e despesas com pessoal, inclusive despesas com translado e estadia, direitos trabalhistas, encargos sociais, seguros, licenças, impostos e taxas que incidam ou venham a incidir sob a prestação do serviço ora contratado incluindo ainda todas as demais despesas necessárias à perfeita execução do objeto deste contrato.</w:t>
      </w:r>
    </w:p>
    <w:p>
      <w:pPr>
        <w:pStyle w:val="NoSpacing"/>
        <w:spacing w:lineRule="auto" w:line="276" w:before="57" w:after="57"/>
        <w:jc w:val="both"/>
        <w:rPr>
          <w:rFonts w:ascii="Verdana" w:hAnsi="Verdana"/>
          <w:sz w:val="20"/>
          <w:szCs w:val="20"/>
        </w:rPr>
      </w:pPr>
      <w:r>
        <w:rPr>
          <w:rFonts w:ascii="Verdana" w:hAnsi="Verdana"/>
          <w:b/>
          <w:bCs/>
          <w:sz w:val="20"/>
          <w:szCs w:val="20"/>
        </w:rPr>
        <w:t>5.6</w:t>
      </w:r>
      <w:r>
        <w:rPr>
          <w:rFonts w:ascii="Verdana" w:hAnsi="Verdana"/>
          <w:sz w:val="20"/>
          <w:szCs w:val="20"/>
        </w:rPr>
        <w:t xml:space="preserve"> A Contratada deverá arcar com o ônus decorrente de eventual equívoco no dimensionamento dos quantitativos de sua proposta, devendo complementá-los, caso o previsto inicialmente em sua proposta não seja satisfatório para o atendimento ao objeto da licitação, Sem direito a pedido de revisão contratual por conta de erro de dimensionamento.</w:t>
      </w:r>
    </w:p>
    <w:p>
      <w:pPr>
        <w:pStyle w:val="Normal"/>
        <w:tabs>
          <w:tab w:val="clear" w:pos="708"/>
          <w:tab w:val="left" w:pos="540" w:leader="none"/>
        </w:tabs>
        <w:spacing w:lineRule="auto" w:line="276" w:before="57" w:after="57"/>
        <w:jc w:val="both"/>
        <w:rPr>
          <w:rFonts w:ascii="Verdana" w:hAnsi="Verdana" w:eastAsia="Times New Roman"/>
          <w:color w:val="00B050"/>
          <w:sz w:val="20"/>
          <w:szCs w:val="20"/>
          <w:lang w:eastAsia="ar-SA"/>
        </w:rPr>
      </w:pPr>
      <w:r>
        <w:rPr>
          <w:rFonts w:eastAsia="Times New Roman" w:ascii="Verdana" w:hAnsi="Verdana"/>
          <w:color w:val="00B050"/>
          <w:sz w:val="20"/>
          <w:szCs w:val="20"/>
          <w:lang w:eastAsia="ar-SA"/>
        </w:rPr>
      </w:r>
    </w:p>
    <w:p>
      <w:pPr>
        <w:pStyle w:val="Normal"/>
        <w:keepNext w:val="true"/>
        <w:numPr>
          <w:ilvl w:val="0"/>
          <w:numId w:val="0"/>
        </w:numPr>
        <w:tabs>
          <w:tab w:val="clear" w:pos="708"/>
          <w:tab w:val="left" w:pos="11880" w:leader="none"/>
          <w:tab w:val="left" w:pos="12960" w:leader="none"/>
          <w:tab w:val="left" w:pos="19440" w:leader="none"/>
        </w:tabs>
        <w:spacing w:lineRule="auto" w:line="276" w:before="57" w:after="57"/>
        <w:ind w:hanging="12" w:left="0"/>
        <w:jc w:val="both"/>
        <w:outlineLvl w:val="3"/>
        <w:rPr>
          <w:rFonts w:ascii="Verdana" w:hAnsi="Verdana"/>
          <w:sz w:val="20"/>
          <w:szCs w:val="20"/>
        </w:rPr>
      </w:pPr>
      <w:r>
        <w:rPr>
          <w:rFonts w:eastAsia="Times New Roman" w:ascii="Verdana" w:hAnsi="Verdana"/>
          <w:b/>
          <w:bCs/>
          <w:smallCaps/>
          <w:sz w:val="20"/>
          <w:szCs w:val="20"/>
          <w:lang w:eastAsia="ar-SA"/>
        </w:rPr>
        <w:t>CLÁUSULA SEXTA - D</w:t>
      </w:r>
      <w:r>
        <w:rPr>
          <w:rFonts w:eastAsia="Times New Roman" w:ascii="Verdana" w:hAnsi="Verdana"/>
          <w:b/>
          <w:bCs/>
          <w:sz w:val="20"/>
          <w:szCs w:val="20"/>
          <w:lang w:eastAsia="ar-SA"/>
        </w:rPr>
        <w:t>AS CONDIÇÕES DE PAGAMENTO</w:t>
      </w:r>
      <w:r>
        <w:rPr>
          <w:rFonts w:eastAsia="Times New Roman" w:ascii="Verdana" w:hAnsi="Verdana"/>
          <w:bCs/>
          <w:sz w:val="20"/>
          <w:szCs w:val="20"/>
          <w:lang w:eastAsia="ar-SA"/>
        </w:rPr>
        <w:t xml:space="preserve"> </w:t>
      </w:r>
    </w:p>
    <w:p>
      <w:pPr>
        <w:pStyle w:val="Normal"/>
        <w:tabs>
          <w:tab w:val="clear" w:pos="708"/>
          <w:tab w:val="left" w:pos="504" w:leader="none"/>
        </w:tabs>
        <w:spacing w:lineRule="auto" w:line="276" w:before="57" w:after="57"/>
        <w:jc w:val="both"/>
        <w:rPr>
          <w:rFonts w:ascii="Verdana" w:hAnsi="Verdana"/>
          <w:sz w:val="20"/>
          <w:szCs w:val="20"/>
        </w:rPr>
      </w:pPr>
      <w:r>
        <w:rPr>
          <w:rFonts w:eastAsia="Times New Roman" w:ascii="Verdana" w:hAnsi="Verdana"/>
          <w:b/>
          <w:sz w:val="20"/>
          <w:szCs w:val="20"/>
          <w:lang w:eastAsia="ar-SA"/>
        </w:rPr>
        <w:t xml:space="preserve">6.1 </w:t>
      </w:r>
      <w:r>
        <w:rPr>
          <w:rFonts w:ascii="Verdana" w:hAnsi="Verdana"/>
          <w:sz w:val="20"/>
          <w:szCs w:val="20"/>
        </w:rPr>
        <w:t>O pagamento será efetuado pela Contratante em duas etapas:</w:t>
      </w:r>
    </w:p>
    <w:p>
      <w:pPr>
        <w:pStyle w:val="Normal"/>
        <w:tabs>
          <w:tab w:val="clear" w:pos="708"/>
          <w:tab w:val="left" w:pos="504" w:leader="none"/>
        </w:tabs>
        <w:spacing w:lineRule="auto" w:line="276" w:before="57" w:after="57"/>
        <w:ind w:left="14"/>
        <w:jc w:val="both"/>
        <w:rPr>
          <w:rFonts w:ascii="Verdana" w:hAnsi="Verdana"/>
          <w:sz w:val="20"/>
          <w:szCs w:val="20"/>
        </w:rPr>
      </w:pPr>
      <w:r>
        <w:rPr>
          <w:rFonts w:ascii="Verdana" w:hAnsi="Verdana"/>
          <w:b/>
          <w:sz w:val="20"/>
          <w:szCs w:val="20"/>
        </w:rPr>
        <w:t>a)</w:t>
      </w:r>
      <w:r>
        <w:rPr>
          <w:rFonts w:ascii="Verdana" w:hAnsi="Verdana"/>
          <w:sz w:val="20"/>
          <w:szCs w:val="20"/>
        </w:rPr>
        <w:t xml:space="preserve"> A primeira, integralmente, quando do encerramento do processo de migração, implantação, treinamento e conversão de dados, se executado.</w:t>
      </w:r>
    </w:p>
    <w:p>
      <w:pPr>
        <w:pStyle w:val="Normal"/>
        <w:tabs>
          <w:tab w:val="clear" w:pos="708"/>
          <w:tab w:val="left" w:pos="504" w:leader="none"/>
        </w:tabs>
        <w:spacing w:lineRule="auto" w:line="276" w:before="57" w:after="57"/>
        <w:ind w:left="14"/>
        <w:jc w:val="both"/>
        <w:rPr>
          <w:rFonts w:ascii="Verdana" w:hAnsi="Verdana"/>
          <w:sz w:val="20"/>
          <w:szCs w:val="20"/>
        </w:rPr>
      </w:pPr>
      <w:r>
        <w:rPr>
          <w:rFonts w:ascii="Verdana" w:hAnsi="Verdana"/>
          <w:b/>
          <w:sz w:val="20"/>
          <w:szCs w:val="20"/>
          <w:shd w:fill="FFFFFF" w:val="clear"/>
        </w:rPr>
        <w:t>b)</w:t>
      </w:r>
      <w:r>
        <w:rPr>
          <w:rFonts w:ascii="Verdana" w:hAnsi="Verdana"/>
          <w:sz w:val="20"/>
          <w:szCs w:val="20"/>
          <w:shd w:fill="FFFFFF" w:val="clear"/>
        </w:rPr>
        <w:t xml:space="preserve"> A segunda etapa, mensalmente de acordo com o valor de cada sistema, na forma estabelecida na cláusula quinta deste contrato, após o </w:t>
      </w:r>
      <w:r>
        <w:rPr>
          <w:rFonts w:ascii="Verdana" w:hAnsi="Verdana"/>
          <w:sz w:val="20"/>
          <w:szCs w:val="20"/>
        </w:rPr>
        <w:t>encerramento do processo de migração, implantação, treinamento e conversão de dados, se executado.</w:t>
      </w:r>
    </w:p>
    <w:p>
      <w:pPr>
        <w:pStyle w:val="Normal"/>
        <w:tabs>
          <w:tab w:val="clear" w:pos="708"/>
          <w:tab w:val="left" w:pos="504" w:leader="none"/>
        </w:tabs>
        <w:spacing w:lineRule="auto" w:line="276" w:before="57" w:after="57"/>
        <w:ind w:left="14"/>
        <w:jc w:val="both"/>
        <w:rPr>
          <w:rFonts w:ascii="Verdana" w:hAnsi="Verdana"/>
          <w:sz w:val="20"/>
          <w:szCs w:val="20"/>
        </w:rPr>
      </w:pPr>
      <w:r>
        <w:rPr>
          <w:rFonts w:ascii="Verdana" w:hAnsi="Verdana"/>
          <w:b/>
          <w:sz w:val="20"/>
          <w:szCs w:val="20"/>
        </w:rPr>
        <w:t>c)</w:t>
      </w:r>
      <w:r>
        <w:rPr>
          <w:rFonts w:ascii="Verdana" w:hAnsi="Verdana"/>
          <w:sz w:val="20"/>
          <w:szCs w:val="20"/>
        </w:rPr>
        <w:t xml:space="preserve"> Todos os pagamentos ocorrerão após atestada a sua execução e requerimento protocolado pela Contratada, no valor correspondente aos serviços prestados, mediante apresentação da Nota Fiscal.</w:t>
      </w:r>
    </w:p>
    <w:p>
      <w:pPr>
        <w:pStyle w:val="Normal"/>
        <w:spacing w:lineRule="auto" w:line="276" w:before="57" w:after="57"/>
        <w:jc w:val="both"/>
        <w:rPr>
          <w:rFonts w:ascii="Verdana" w:hAnsi="Verdana"/>
          <w:sz w:val="20"/>
          <w:szCs w:val="20"/>
        </w:rPr>
      </w:pPr>
      <w:r>
        <w:rPr>
          <w:rFonts w:eastAsia="Times New Roman" w:ascii="Verdana" w:hAnsi="Verdana"/>
          <w:b/>
          <w:color w:val="000000"/>
          <w:sz w:val="20"/>
          <w:szCs w:val="20"/>
          <w:lang w:eastAsia="ar-SA"/>
        </w:rPr>
        <w:t>6.2</w:t>
      </w:r>
      <w:r>
        <w:rPr>
          <w:rFonts w:eastAsia="Times New Roman" w:ascii="Verdana" w:hAnsi="Verdana"/>
          <w:color w:val="000000"/>
          <w:sz w:val="20"/>
          <w:szCs w:val="20"/>
          <w:lang w:eastAsia="ar-SA"/>
        </w:rPr>
        <w:t xml:space="preserve"> Os pagamentos serão efetuados mediante o fornecimento a Caixa de Assistência dos Servidores Públicos Municipais de São Gabriel da Palha dos seguintes documentos:</w:t>
      </w:r>
    </w:p>
    <w:p>
      <w:pPr>
        <w:pStyle w:val="Normal"/>
        <w:spacing w:lineRule="auto" w:line="276" w:before="57" w:after="57"/>
        <w:jc w:val="both"/>
        <w:rPr>
          <w:rFonts w:ascii="Verdana" w:hAnsi="Verdana"/>
          <w:sz w:val="20"/>
          <w:szCs w:val="20"/>
        </w:rPr>
      </w:pPr>
      <w:r>
        <w:rPr>
          <w:rFonts w:eastAsia="Times New Roman" w:ascii="Verdana" w:hAnsi="Verdana"/>
          <w:b/>
          <w:color w:val="000000"/>
          <w:sz w:val="20"/>
          <w:szCs w:val="20"/>
          <w:lang w:eastAsia="ar-SA"/>
        </w:rPr>
        <w:t>a)</w:t>
      </w:r>
      <w:r>
        <w:rPr>
          <w:rFonts w:eastAsia="Times New Roman" w:ascii="Verdana" w:hAnsi="Verdana"/>
          <w:color w:val="000000"/>
          <w:sz w:val="20"/>
          <w:szCs w:val="20"/>
          <w:lang w:eastAsia="ar-SA"/>
        </w:rPr>
        <w:t xml:space="preserve"> NOTA FISCAL/fatura</w:t>
      </w:r>
    </w:p>
    <w:p>
      <w:pPr>
        <w:pStyle w:val="Normal"/>
        <w:tabs>
          <w:tab w:val="clear" w:pos="708"/>
          <w:tab w:val="left" w:pos="420" w:leader="none"/>
        </w:tabs>
        <w:spacing w:lineRule="auto" w:line="276" w:before="57" w:after="57"/>
        <w:jc w:val="both"/>
        <w:rPr>
          <w:rFonts w:ascii="Verdana" w:hAnsi="Verdana"/>
          <w:sz w:val="20"/>
          <w:szCs w:val="20"/>
        </w:rPr>
      </w:pPr>
      <w:r>
        <w:rPr>
          <w:rFonts w:eastAsia="Times New Roman" w:ascii="Verdana" w:hAnsi="Verdana"/>
          <w:b/>
          <w:sz w:val="20"/>
          <w:szCs w:val="20"/>
          <w:lang w:eastAsia="ar-SA"/>
        </w:rPr>
        <w:t>b)</w:t>
      </w:r>
      <w:r>
        <w:rPr>
          <w:rFonts w:eastAsia="Times New Roman" w:ascii="Verdana" w:hAnsi="Verdana"/>
          <w:sz w:val="20"/>
          <w:szCs w:val="20"/>
          <w:lang w:eastAsia="ar-SA"/>
        </w:rPr>
        <w:t xml:space="preserve"> </w:t>
      </w:r>
      <w:r>
        <w:rPr>
          <w:rFonts w:ascii="Verdana" w:hAnsi="Verdana"/>
          <w:sz w:val="20"/>
          <w:szCs w:val="20"/>
        </w:rPr>
        <w:t>Prova de Regularidade com a Fazenda Pública Federal, (Quitação de tributos e contribuições Federais e Quanto à dívida ativa da União), e junto ao INSS, conforme Portaria MF nº 358 de 05/09/2014.</w:t>
      </w:r>
    </w:p>
    <w:p>
      <w:pPr>
        <w:pStyle w:val="Normal"/>
        <w:tabs>
          <w:tab w:val="clear" w:pos="708"/>
          <w:tab w:val="left" w:pos="420" w:leader="none"/>
        </w:tabs>
        <w:spacing w:lineRule="auto" w:line="276" w:before="57" w:after="57"/>
        <w:jc w:val="both"/>
        <w:rPr>
          <w:rFonts w:ascii="Verdana" w:hAnsi="Verdana"/>
          <w:sz w:val="20"/>
          <w:szCs w:val="20"/>
        </w:rPr>
      </w:pPr>
      <w:r>
        <w:rPr>
          <w:rFonts w:eastAsia="Times New Roman" w:ascii="Verdana" w:hAnsi="Verdana"/>
          <w:b/>
          <w:sz w:val="20"/>
          <w:szCs w:val="20"/>
          <w:lang w:eastAsia="ar-SA"/>
        </w:rPr>
        <w:t>c)</w:t>
      </w:r>
      <w:r>
        <w:rPr>
          <w:rFonts w:eastAsia="Times New Roman" w:ascii="Verdana" w:hAnsi="Verdana"/>
          <w:sz w:val="20"/>
          <w:szCs w:val="20"/>
          <w:lang w:eastAsia="ar-SA"/>
        </w:rPr>
        <w:t xml:space="preserve"> </w:t>
      </w:r>
      <w:r>
        <w:rPr>
          <w:rFonts w:ascii="Verdana" w:hAnsi="Verdana"/>
          <w:sz w:val="20"/>
          <w:szCs w:val="20"/>
        </w:rPr>
        <w:t>Prova de Regularidade com a Fazenda Pública do Estado onde for sediada a empresa</w:t>
      </w:r>
      <w:r>
        <w:rPr>
          <w:rFonts w:ascii="Verdana" w:hAnsi="Verdana"/>
          <w:bCs/>
          <w:sz w:val="20"/>
          <w:szCs w:val="20"/>
        </w:rPr>
        <w:t>;</w:t>
      </w:r>
    </w:p>
    <w:p>
      <w:pPr>
        <w:pStyle w:val="Normal"/>
        <w:tabs>
          <w:tab w:val="clear" w:pos="708"/>
          <w:tab w:val="left" w:pos="420" w:leader="none"/>
        </w:tabs>
        <w:spacing w:lineRule="auto" w:line="276" w:before="57" w:after="57"/>
        <w:jc w:val="both"/>
        <w:rPr>
          <w:rFonts w:ascii="Verdana" w:hAnsi="Verdana"/>
          <w:sz w:val="20"/>
          <w:szCs w:val="20"/>
        </w:rPr>
      </w:pPr>
      <w:r>
        <w:rPr>
          <w:rFonts w:eastAsia="Times New Roman" w:ascii="Verdana" w:hAnsi="Verdana"/>
          <w:b/>
          <w:color w:val="000000"/>
          <w:sz w:val="20"/>
          <w:szCs w:val="20"/>
          <w:lang w:eastAsia="ar-SA"/>
        </w:rPr>
        <w:t>d</w:t>
      </w:r>
      <w:r>
        <w:rPr>
          <w:rFonts w:eastAsia="Times New Roman" w:ascii="Verdana" w:hAnsi="Verdana"/>
          <w:b/>
          <w:sz w:val="20"/>
          <w:szCs w:val="20"/>
          <w:lang w:eastAsia="ar-SA"/>
        </w:rPr>
        <w:t>)</w:t>
      </w:r>
      <w:r>
        <w:rPr>
          <w:rFonts w:eastAsia="Times New Roman" w:ascii="Verdana" w:hAnsi="Verdana"/>
          <w:sz w:val="20"/>
          <w:szCs w:val="20"/>
          <w:lang w:eastAsia="ar-SA"/>
        </w:rPr>
        <w:t xml:space="preserve"> </w:t>
      </w:r>
      <w:r>
        <w:rPr>
          <w:rFonts w:ascii="Verdana" w:hAnsi="Verdana"/>
          <w:sz w:val="20"/>
          <w:szCs w:val="20"/>
        </w:rPr>
        <w:t>Prova de Regularidade com a Fazenda Pública do Município onde for sediada a empresa;</w:t>
      </w:r>
    </w:p>
    <w:p>
      <w:pPr>
        <w:pStyle w:val="Normal"/>
        <w:spacing w:lineRule="auto" w:line="276" w:before="57" w:after="57"/>
        <w:jc w:val="both"/>
        <w:rPr>
          <w:rFonts w:ascii="Verdana" w:hAnsi="Verdana"/>
          <w:sz w:val="20"/>
          <w:szCs w:val="20"/>
        </w:rPr>
      </w:pPr>
      <w:r>
        <w:rPr>
          <w:rFonts w:eastAsia="Times New Roman" w:ascii="Verdana" w:hAnsi="Verdana"/>
          <w:b/>
          <w:color w:val="000000"/>
          <w:sz w:val="20"/>
          <w:szCs w:val="20"/>
          <w:lang w:eastAsia="ar-SA"/>
        </w:rPr>
        <w:t>e)</w:t>
      </w:r>
      <w:r>
        <w:rPr>
          <w:rFonts w:eastAsia="Times New Roman" w:ascii="Verdana" w:hAnsi="Verdana"/>
          <w:color w:val="000000"/>
          <w:sz w:val="20"/>
          <w:szCs w:val="20"/>
          <w:lang w:eastAsia="ar-SA"/>
        </w:rPr>
        <w:t xml:space="preserve"> </w:t>
      </w:r>
      <w:r>
        <w:rPr>
          <w:rFonts w:ascii="Verdana" w:hAnsi="Verdana"/>
          <w:sz w:val="20"/>
          <w:szCs w:val="20"/>
        </w:rPr>
        <w:t>Prova de regularidade relativa à Seguridade Social e ao Fundo de Garantia por Tempo de Serviço – FGTS;</w:t>
      </w:r>
    </w:p>
    <w:p>
      <w:pPr>
        <w:pStyle w:val="Normal"/>
        <w:spacing w:lineRule="auto" w:line="276" w:before="57" w:after="57"/>
        <w:jc w:val="both"/>
        <w:rPr>
          <w:rFonts w:ascii="Verdana" w:hAnsi="Verdana"/>
          <w:sz w:val="20"/>
          <w:szCs w:val="20"/>
        </w:rPr>
      </w:pPr>
      <w:r>
        <w:rPr>
          <w:rFonts w:eastAsia="Times New Roman" w:ascii="Verdana" w:hAnsi="Verdana"/>
          <w:b/>
          <w:color w:val="000000"/>
          <w:sz w:val="20"/>
          <w:szCs w:val="20"/>
          <w:lang w:eastAsia="ar-SA"/>
        </w:rPr>
        <w:t xml:space="preserve">f) </w:t>
      </w:r>
      <w:r>
        <w:rPr>
          <w:rFonts w:eastAsia="Times New Roman" w:ascii="Verdana" w:hAnsi="Verdana"/>
          <w:color w:val="000000"/>
          <w:sz w:val="20"/>
          <w:szCs w:val="20"/>
          <w:lang w:eastAsia="ar-SA"/>
        </w:rPr>
        <w:t>Prova de Inexistência de Débitos inadimplidos perante a Justiça do Trabalho (CNDT) de acordo com a Lei n° 12.440 de 7 de julho de 2011.</w:t>
      </w:r>
    </w:p>
    <w:p>
      <w:pPr>
        <w:pStyle w:val="Normal"/>
        <w:spacing w:lineRule="auto" w:line="276" w:before="57" w:after="57"/>
        <w:jc w:val="both"/>
        <w:rPr>
          <w:rFonts w:ascii="Verdana" w:hAnsi="Verdana"/>
          <w:sz w:val="20"/>
          <w:szCs w:val="20"/>
        </w:rPr>
      </w:pPr>
      <w:r>
        <w:rPr>
          <w:rFonts w:eastAsia="Times New Roman" w:ascii="Verdana" w:hAnsi="Verdana"/>
          <w:b/>
          <w:color w:val="000000"/>
          <w:sz w:val="20"/>
          <w:szCs w:val="20"/>
          <w:lang w:eastAsia="ar-SA"/>
        </w:rPr>
        <w:t>6.3</w:t>
      </w:r>
      <w:r>
        <w:rPr>
          <w:rFonts w:eastAsia="Times New Roman" w:ascii="Verdana" w:hAnsi="Verdana"/>
          <w:color w:val="000000"/>
          <w:sz w:val="20"/>
          <w:szCs w:val="20"/>
          <w:lang w:eastAsia="ar-SA"/>
        </w:rPr>
        <w:t xml:space="preserve"> Estes documentos depois de conferidos e visados, serão encaminhados para processamento e pagamento até o 10º (décimo) dia útil, após a respectiva apresentação, </w:t>
      </w:r>
      <w:r>
        <w:rPr>
          <w:rFonts w:ascii="Verdana" w:hAnsi="Verdana"/>
          <w:sz w:val="20"/>
          <w:szCs w:val="20"/>
        </w:rPr>
        <w:t>desde que atestada a sua execução.</w:t>
      </w:r>
    </w:p>
    <w:p>
      <w:pPr>
        <w:pStyle w:val="Normal"/>
        <w:spacing w:lineRule="auto" w:line="276" w:before="57" w:after="57"/>
        <w:jc w:val="both"/>
        <w:rPr>
          <w:rFonts w:ascii="Verdana" w:hAnsi="Verdana"/>
          <w:sz w:val="20"/>
          <w:szCs w:val="20"/>
        </w:rPr>
      </w:pPr>
      <w:r>
        <w:rPr>
          <w:rFonts w:eastAsia="Times New Roman" w:ascii="Verdana" w:hAnsi="Verdana"/>
          <w:b/>
          <w:color w:val="000000"/>
          <w:sz w:val="20"/>
          <w:szCs w:val="20"/>
          <w:lang w:eastAsia="ar-SA"/>
        </w:rPr>
        <w:t>6.4</w:t>
      </w:r>
      <w:r>
        <w:rPr>
          <w:rFonts w:eastAsia="Times New Roman" w:ascii="Verdana" w:hAnsi="Verdana"/>
          <w:color w:val="000000"/>
          <w:sz w:val="20"/>
          <w:szCs w:val="20"/>
          <w:lang w:eastAsia="ar-SA"/>
        </w:rPr>
        <w:t xml:space="preserve"> Ocorrendo erros na apresentação do(s) documento(s) fiscal(is), o(s) mesmo(s) será(ão) devolvido(s) à empresa contratada para correção, ficando estabelecido que o prazo para pagamento será contado a partir da data de apresentação do novo documento, devidamente corrigido.</w:t>
      </w:r>
    </w:p>
    <w:p>
      <w:pPr>
        <w:pStyle w:val="Normal"/>
        <w:spacing w:lineRule="auto" w:line="276" w:before="57" w:after="57"/>
        <w:jc w:val="both"/>
        <w:rPr>
          <w:rFonts w:ascii="Verdana" w:hAnsi="Verdana"/>
          <w:sz w:val="20"/>
          <w:szCs w:val="20"/>
        </w:rPr>
      </w:pPr>
      <w:r>
        <w:rPr>
          <w:rFonts w:eastAsia="Times New Roman" w:ascii="Verdana" w:hAnsi="Verdana"/>
          <w:b/>
          <w:color w:val="000000"/>
          <w:sz w:val="20"/>
          <w:szCs w:val="20"/>
          <w:lang w:eastAsia="ar-SA"/>
        </w:rPr>
        <w:t>6.5</w:t>
      </w:r>
      <w:r>
        <w:rPr>
          <w:rFonts w:eastAsia="Times New Roman" w:ascii="Verdana" w:hAnsi="Verdana"/>
          <w:color w:val="000000"/>
          <w:sz w:val="20"/>
          <w:szCs w:val="20"/>
          <w:lang w:eastAsia="ar-SA"/>
        </w:rPr>
        <w:t xml:space="preserve"> </w:t>
      </w:r>
      <w:r>
        <w:rPr>
          <w:rFonts w:ascii="Verdana" w:hAnsi="Verdana"/>
          <w:sz w:val="20"/>
          <w:szCs w:val="20"/>
        </w:rPr>
        <w:t>O pagamento das faturas somente será feito em carteira ou cobrança simples, sendo expressamente vedada a contratada a cobrança ou desconto de duplicatas através da rede bancária ou de terceiros.</w:t>
      </w:r>
    </w:p>
    <w:p>
      <w:pPr>
        <w:pStyle w:val="Normal"/>
        <w:spacing w:lineRule="auto" w:line="276" w:before="57" w:after="57"/>
        <w:jc w:val="both"/>
        <w:rPr>
          <w:rFonts w:ascii="Verdana" w:hAnsi="Verdana"/>
          <w:sz w:val="20"/>
          <w:szCs w:val="20"/>
        </w:rPr>
      </w:pPr>
      <w:r>
        <w:rPr>
          <w:rFonts w:eastAsia="Times New Roman" w:ascii="Verdana" w:hAnsi="Verdana"/>
          <w:b/>
          <w:color w:val="000000"/>
          <w:sz w:val="20"/>
          <w:szCs w:val="20"/>
          <w:lang w:eastAsia="ar-SA"/>
        </w:rPr>
        <w:t>6.6</w:t>
      </w:r>
      <w:r>
        <w:rPr>
          <w:rFonts w:eastAsia="Times New Roman" w:ascii="Verdana" w:hAnsi="Verdana"/>
          <w:color w:val="000000"/>
          <w:sz w:val="20"/>
          <w:szCs w:val="20"/>
          <w:lang w:eastAsia="ar-SA"/>
        </w:rPr>
        <w:t xml:space="preserve"> A Caixa de Assistência poderá deduzir do pagamento importâncias que a qualquer título lhe forem devidos pela empresa contratada, em decorrência de descumprimento de suas obrigações, ou aplicação de eventuais penalidades, mediante processo administrativo com contraditório e ampla defesa.</w:t>
      </w:r>
    </w:p>
    <w:p>
      <w:pPr>
        <w:pStyle w:val="Normal"/>
        <w:tabs>
          <w:tab w:val="clear" w:pos="708"/>
          <w:tab w:val="left" w:pos="1724" w:leader="none"/>
        </w:tabs>
        <w:spacing w:lineRule="auto" w:line="276" w:before="57" w:after="57"/>
        <w:ind w:left="14"/>
        <w:jc w:val="both"/>
        <w:rPr>
          <w:rFonts w:ascii="Verdana" w:hAnsi="Verdana"/>
          <w:sz w:val="20"/>
          <w:szCs w:val="20"/>
        </w:rPr>
      </w:pPr>
      <w:r>
        <w:rPr>
          <w:rFonts w:cs="Arial" w:ascii="Verdana" w:hAnsi="Verdana"/>
          <w:sz w:val="20"/>
          <w:szCs w:val="20"/>
        </w:rPr>
        <w:tab/>
      </w:r>
    </w:p>
    <w:p>
      <w:pPr>
        <w:pStyle w:val="Normal"/>
        <w:keepNext w:val="true"/>
        <w:numPr>
          <w:ilvl w:val="0"/>
          <w:numId w:val="0"/>
        </w:numPr>
        <w:tabs>
          <w:tab w:val="clear" w:pos="708"/>
          <w:tab w:val="left" w:pos="11880" w:leader="none"/>
          <w:tab w:val="left" w:pos="12960" w:leader="none"/>
          <w:tab w:val="left" w:pos="19440" w:leader="none"/>
        </w:tabs>
        <w:spacing w:lineRule="auto" w:line="276" w:before="57" w:after="57"/>
        <w:ind w:hanging="12" w:left="0"/>
        <w:jc w:val="both"/>
        <w:outlineLvl w:val="3"/>
        <w:rPr>
          <w:rFonts w:ascii="Verdana" w:hAnsi="Verdana"/>
          <w:sz w:val="20"/>
          <w:szCs w:val="20"/>
        </w:rPr>
      </w:pPr>
      <w:r>
        <w:rPr>
          <w:rFonts w:eastAsia="Times New Roman" w:ascii="Verdana" w:hAnsi="Verdana"/>
          <w:b/>
          <w:bCs/>
          <w:smallCaps/>
          <w:sz w:val="20"/>
          <w:szCs w:val="20"/>
          <w:lang w:eastAsia="ar-SA"/>
        </w:rPr>
        <w:t>CLÁUSULA SÉTIMA – DO REAJUSTE</w:t>
      </w:r>
      <w:r>
        <w:rPr>
          <w:rFonts w:eastAsia="Times New Roman" w:ascii="Verdana" w:hAnsi="Verdana"/>
          <w:bCs/>
          <w:sz w:val="20"/>
          <w:szCs w:val="20"/>
          <w:lang w:eastAsia="ar-SA"/>
        </w:rPr>
        <w:t xml:space="preserve"> </w:t>
      </w:r>
    </w:p>
    <w:p>
      <w:pPr>
        <w:pStyle w:val="Normal"/>
        <w:keepNext w:val="true"/>
        <w:numPr>
          <w:ilvl w:val="0"/>
          <w:numId w:val="0"/>
        </w:numPr>
        <w:tabs>
          <w:tab w:val="clear" w:pos="708"/>
          <w:tab w:val="left" w:pos="11880" w:leader="none"/>
          <w:tab w:val="left" w:pos="12960" w:leader="none"/>
          <w:tab w:val="left" w:pos="19440" w:leader="none"/>
        </w:tabs>
        <w:spacing w:lineRule="auto" w:line="276" w:before="57" w:after="57"/>
        <w:ind w:hanging="12" w:left="0"/>
        <w:jc w:val="both"/>
        <w:outlineLvl w:val="3"/>
        <w:rPr>
          <w:rFonts w:ascii="Verdana" w:hAnsi="Verdana"/>
          <w:sz w:val="20"/>
          <w:szCs w:val="20"/>
        </w:rPr>
      </w:pPr>
      <w:r>
        <w:rPr>
          <w:rFonts w:ascii="Verdana" w:hAnsi="Verdana"/>
          <w:b/>
          <w:bCs/>
          <w:sz w:val="20"/>
          <w:szCs w:val="20"/>
        </w:rPr>
        <w:t>7.1</w:t>
      </w:r>
      <w:r>
        <w:rPr>
          <w:rFonts w:ascii="Verdana" w:hAnsi="Verdana"/>
          <w:sz w:val="20"/>
          <w:szCs w:val="20"/>
        </w:rPr>
        <w:t xml:space="preserve"> Os preços inicialmente contratados são fixos e irreajustáveis no prazo de um ano contado da data do orçamento estimado, em </w:t>
      </w:r>
      <w:r>
        <w:rPr>
          <w:rFonts w:ascii="Verdana" w:hAnsi="Verdana"/>
          <w:sz w:val="20"/>
          <w:szCs w:val="20"/>
          <w:shd w:fill="FFFF00" w:val="clear"/>
        </w:rPr>
        <w:t>___/___/_____</w:t>
      </w:r>
      <w:r>
        <w:rPr>
          <w:rFonts w:ascii="Verdana" w:hAnsi="Verdana"/>
          <w:sz w:val="20"/>
          <w:szCs w:val="20"/>
        </w:rPr>
        <w:t>.</w:t>
      </w:r>
    </w:p>
    <w:p>
      <w:pPr>
        <w:pStyle w:val="Normal"/>
        <w:spacing w:lineRule="auto" w:line="276" w:before="57" w:after="57"/>
        <w:jc w:val="both"/>
        <w:rPr>
          <w:rFonts w:ascii="Verdana" w:hAnsi="Verdana"/>
          <w:sz w:val="20"/>
          <w:szCs w:val="20"/>
        </w:rPr>
      </w:pPr>
      <w:r>
        <w:rPr>
          <w:rFonts w:ascii="Verdana" w:hAnsi="Verdana"/>
          <w:b/>
          <w:sz w:val="20"/>
          <w:szCs w:val="20"/>
        </w:rPr>
        <w:t>7.2</w:t>
      </w:r>
      <w:r>
        <w:rPr>
          <w:rFonts w:ascii="Verdana" w:hAnsi="Verdana"/>
          <w:sz w:val="20"/>
          <w:szCs w:val="20"/>
        </w:rPr>
        <w:t xml:space="preserve"> A Contratada tem direito ao equilíbrio econômico-financeiro do contrato, procedendo-se à revisão do mesmo a qualquer tempo, desde que ocorra fato imprevisível ou previsível, porém com consequências incalculáveis, que onere ou desonere excessivamente as obrigações pactuadas no presente instrumento;</w:t>
      </w:r>
    </w:p>
    <w:p>
      <w:pPr>
        <w:pStyle w:val="Normal"/>
        <w:spacing w:lineRule="auto" w:line="276" w:before="57" w:after="57"/>
        <w:jc w:val="both"/>
        <w:rPr>
          <w:rFonts w:ascii="Verdana" w:hAnsi="Verdana"/>
          <w:sz w:val="20"/>
          <w:szCs w:val="20"/>
        </w:rPr>
      </w:pPr>
      <w:r>
        <w:rPr>
          <w:rFonts w:ascii="Verdana" w:hAnsi="Verdana"/>
          <w:b/>
          <w:sz w:val="20"/>
          <w:szCs w:val="20"/>
        </w:rPr>
        <w:t>7.3</w:t>
      </w:r>
      <w:r>
        <w:rPr>
          <w:rFonts w:ascii="Verdana" w:hAnsi="Verdana"/>
          <w:sz w:val="20"/>
          <w:szCs w:val="20"/>
        </w:rPr>
        <w:t xml:space="preserve"> A Contratada, quando for o caso, deverá formular a Caixa de Assistência dos servidores Públicos Municipais de São Gabriel da Palha, o requerimento para a revisão do preço do contrato, com a comprovação da situação que o condiciona a ter o seu preço revisto. A prazo máximo para resposta ao pedido será de 15 dias úteis.</w:t>
      </w:r>
    </w:p>
    <w:p>
      <w:pPr>
        <w:pStyle w:val="Normal"/>
        <w:spacing w:lineRule="auto" w:line="276" w:before="57" w:after="57"/>
        <w:jc w:val="both"/>
        <w:rPr>
          <w:rFonts w:ascii="Verdana" w:hAnsi="Verdana"/>
          <w:sz w:val="20"/>
          <w:szCs w:val="20"/>
        </w:rPr>
      </w:pPr>
      <w:r>
        <w:rPr>
          <w:rFonts w:ascii="Verdana" w:hAnsi="Verdana"/>
          <w:b/>
          <w:sz w:val="20"/>
          <w:szCs w:val="20"/>
        </w:rPr>
        <w:t>7.4</w:t>
      </w:r>
      <w:r>
        <w:rPr>
          <w:rFonts w:ascii="Verdana" w:hAnsi="Verdana"/>
          <w:sz w:val="20"/>
          <w:szCs w:val="20"/>
        </w:rPr>
        <w:t xml:space="preserve"> Na hipótese de solicitação de revisão pela CONTRATADA, esta deverá demonstrar a quebra do equilíbrio econômico-financeiro do contrato, por meio de apresentação de planilha(s) detalhada(s) de custos seguindo a mesma metodologia de preços da fonte produtora, e documentação correlata que comprovem que a contratação se tornou inviável nas condições inicialmente avençadas.</w:t>
      </w:r>
    </w:p>
    <w:p>
      <w:pPr>
        <w:pStyle w:val="Normal"/>
        <w:spacing w:lineRule="auto" w:line="276" w:before="57" w:after="57"/>
        <w:jc w:val="both"/>
        <w:rPr>
          <w:rFonts w:ascii="Verdana" w:hAnsi="Verdana"/>
          <w:sz w:val="20"/>
          <w:szCs w:val="20"/>
        </w:rPr>
      </w:pPr>
      <w:r>
        <w:rPr>
          <w:rFonts w:ascii="Verdana" w:hAnsi="Verdana"/>
          <w:b/>
          <w:sz w:val="20"/>
          <w:szCs w:val="20"/>
        </w:rPr>
        <w:t>7.5</w:t>
      </w:r>
      <w:r>
        <w:rPr>
          <w:rFonts w:ascii="Verdana" w:hAnsi="Verdana"/>
          <w:sz w:val="20"/>
          <w:szCs w:val="20"/>
        </w:rPr>
        <w:t xml:space="preserve"> Junto com o requerimento, a contratada deverá apresentar planilhas de custos comparativos entre a data de formulação da proposta e do momento do pedido de revisão do contrato, evidenciando o quanto o aumento de preços ocorrido repercute no valor total pactuado. </w:t>
      </w:r>
    </w:p>
    <w:p>
      <w:pPr>
        <w:pStyle w:val="Normal"/>
        <w:spacing w:lineRule="auto" w:line="276" w:before="57" w:after="57"/>
        <w:jc w:val="both"/>
        <w:rPr>
          <w:rFonts w:ascii="Verdana" w:hAnsi="Verdana"/>
          <w:sz w:val="20"/>
          <w:szCs w:val="20"/>
        </w:rPr>
      </w:pPr>
      <w:r>
        <w:rPr>
          <w:rFonts w:ascii="Verdana" w:hAnsi="Verdana"/>
          <w:b/>
          <w:sz w:val="20"/>
          <w:szCs w:val="20"/>
        </w:rPr>
        <w:t>7.6</w:t>
      </w:r>
      <w:r>
        <w:rPr>
          <w:rFonts w:ascii="Verdana" w:hAnsi="Verdana"/>
          <w:sz w:val="20"/>
          <w:szCs w:val="20"/>
        </w:rPr>
        <w:t xml:space="preserve"> Independentemente de solicitação, a Caixa de Assistência poderá convocar a contratada para negociar a redução dos preços, mantendo o mesmo objeto cotado, na qualidade e nas especificações indicadas na proposta, em virtude da redução dos preços de mercado; </w:t>
      </w:r>
    </w:p>
    <w:p>
      <w:pPr>
        <w:pStyle w:val="Normal"/>
        <w:spacing w:lineRule="auto" w:line="276" w:before="57" w:after="57"/>
        <w:jc w:val="both"/>
        <w:rPr>
          <w:rFonts w:ascii="Verdana" w:hAnsi="Verdana"/>
          <w:sz w:val="20"/>
          <w:szCs w:val="20"/>
        </w:rPr>
      </w:pPr>
      <w:r>
        <w:rPr>
          <w:rFonts w:ascii="Verdana" w:hAnsi="Verdana"/>
          <w:b/>
          <w:sz w:val="20"/>
          <w:szCs w:val="20"/>
        </w:rPr>
        <w:t>7.7</w:t>
      </w:r>
      <w:r>
        <w:rPr>
          <w:rFonts w:ascii="Verdana" w:hAnsi="Verdana"/>
          <w:sz w:val="20"/>
          <w:szCs w:val="20"/>
        </w:rPr>
        <w:t xml:space="preserve"> As alterações decorrentes da revisão do contrato serão registradas através de apostilamento ao Contrato, conforme inciso I do Art. 136 da Lei nº 14.133/2021.</w:t>
      </w:r>
    </w:p>
    <w:p>
      <w:pPr>
        <w:pStyle w:val="Normal"/>
        <w:spacing w:lineRule="auto" w:line="276" w:before="57" w:after="57"/>
        <w:jc w:val="both"/>
        <w:rPr>
          <w:rFonts w:ascii="Verdana" w:hAnsi="Verdana"/>
          <w:sz w:val="20"/>
          <w:szCs w:val="20"/>
        </w:rPr>
      </w:pPr>
      <w:r>
        <w:rPr>
          <w:rFonts w:ascii="Verdana" w:hAnsi="Verdana"/>
          <w:b/>
          <w:sz w:val="20"/>
          <w:szCs w:val="20"/>
        </w:rPr>
        <w:t xml:space="preserve">7.8 </w:t>
      </w:r>
      <w:r>
        <w:rPr>
          <w:rFonts w:ascii="Verdana" w:hAnsi="Verdana"/>
          <w:sz w:val="20"/>
          <w:szCs w:val="20"/>
        </w:rPr>
        <w:t>O valor do contrato poderá ser reajustado, a cada 12 (doze) meses, pelo índice IPCA ou outro índice que vier a substituí-lo.</w:t>
      </w:r>
    </w:p>
    <w:p>
      <w:pPr>
        <w:pStyle w:val="Normal"/>
        <w:spacing w:lineRule="auto" w:line="276" w:before="57" w:after="57"/>
        <w:jc w:val="both"/>
        <w:rPr>
          <w:rFonts w:ascii="Verdana" w:hAnsi="Verdana" w:eastAsia="Times New Roman"/>
          <w:b/>
          <w:color w:val="000000"/>
          <w:sz w:val="20"/>
          <w:szCs w:val="20"/>
          <w:lang w:eastAsia="ar-SA"/>
        </w:rPr>
      </w:pPr>
      <w:r>
        <w:rPr>
          <w:rFonts w:eastAsia="Times New Roman" w:ascii="Verdana" w:hAnsi="Verdana"/>
          <w:b/>
          <w:color w:val="000000"/>
          <w:sz w:val="20"/>
          <w:szCs w:val="20"/>
          <w:lang w:eastAsia="ar-SA"/>
        </w:rPr>
      </w:r>
    </w:p>
    <w:p>
      <w:pPr>
        <w:pStyle w:val="Normal"/>
        <w:spacing w:lineRule="auto" w:line="276" w:before="57" w:after="57"/>
        <w:jc w:val="both"/>
        <w:rPr>
          <w:rFonts w:ascii="Verdana" w:hAnsi="Verdana"/>
          <w:sz w:val="20"/>
          <w:szCs w:val="20"/>
        </w:rPr>
      </w:pPr>
      <w:r>
        <w:rPr>
          <w:rFonts w:eastAsia="Times New Roman" w:ascii="Verdana" w:hAnsi="Verdana"/>
          <w:b/>
          <w:color w:val="000000"/>
          <w:sz w:val="20"/>
          <w:szCs w:val="20"/>
          <w:lang w:eastAsia="ar-SA"/>
        </w:rPr>
        <w:t>CLÁUSULA OITAVA – DO PRAZO</w:t>
      </w:r>
    </w:p>
    <w:p>
      <w:pPr>
        <w:pStyle w:val="Normal"/>
        <w:spacing w:lineRule="auto" w:line="276" w:before="57" w:after="57"/>
        <w:jc w:val="both"/>
        <w:rPr>
          <w:rFonts w:ascii="Verdana" w:hAnsi="Verdana"/>
          <w:sz w:val="20"/>
          <w:szCs w:val="20"/>
        </w:rPr>
      </w:pPr>
      <w:r>
        <w:rPr>
          <w:rFonts w:eastAsia="Times New Roman" w:ascii="Verdana" w:hAnsi="Verdana"/>
          <w:b/>
          <w:color w:val="000000"/>
          <w:sz w:val="20"/>
          <w:szCs w:val="20"/>
          <w:lang w:eastAsia="ar-SA"/>
        </w:rPr>
        <w:t>8.1</w:t>
      </w:r>
      <w:r>
        <w:rPr>
          <w:rFonts w:eastAsia="Times New Roman" w:ascii="Verdana" w:hAnsi="Verdana"/>
          <w:color w:val="000000"/>
          <w:sz w:val="20"/>
          <w:szCs w:val="20"/>
          <w:lang w:eastAsia="ar-SA"/>
        </w:rPr>
        <w:t xml:space="preserve"> O prazo de vigência do contrato será de 12 (doze) meses, podendo ser prorrogado por até 15(quinze) anos, conforme art. 114 da Lei nº 14.133/2021.</w:t>
      </w:r>
    </w:p>
    <w:p>
      <w:pPr>
        <w:pStyle w:val="Normal"/>
        <w:spacing w:lineRule="auto" w:line="276" w:before="57" w:after="57"/>
        <w:jc w:val="both"/>
        <w:rPr>
          <w:rFonts w:ascii="Verdana" w:hAnsi="Verdana"/>
          <w:sz w:val="20"/>
          <w:szCs w:val="20"/>
        </w:rPr>
      </w:pPr>
      <w:r>
        <w:rPr>
          <w:rFonts w:eastAsia="Times New Roman" w:ascii="Verdana" w:hAnsi="Verdana"/>
          <w:b/>
          <w:bCs/>
          <w:color w:val="000000"/>
          <w:sz w:val="20"/>
          <w:szCs w:val="20"/>
          <w:lang w:eastAsia="ar-SA"/>
        </w:rPr>
        <w:t>8.2</w:t>
      </w:r>
      <w:r>
        <w:rPr>
          <w:rFonts w:eastAsia="Times New Roman" w:ascii="Verdana" w:hAnsi="Verdana"/>
          <w:color w:val="000000"/>
          <w:sz w:val="20"/>
          <w:szCs w:val="20"/>
          <w:lang w:eastAsia="ar-SA"/>
        </w:rPr>
        <w:t xml:space="preserve"> O empenho será feito anualmente, a cada exercício financeiro, conforme previsão na Lei Orçamentária Anual (LOA) e mediante inscrição do numerário necessário ao custeamento do compromisso ora firmado neste contrato no Plano Plurianual (PPA).</w:t>
      </w:r>
    </w:p>
    <w:p>
      <w:pPr>
        <w:pStyle w:val="Normal"/>
        <w:spacing w:lineRule="auto" w:line="276" w:before="57" w:after="57"/>
        <w:jc w:val="both"/>
        <w:rPr>
          <w:rFonts w:ascii="Verdana" w:hAnsi="Verdana"/>
          <w:sz w:val="20"/>
          <w:szCs w:val="20"/>
        </w:rPr>
      </w:pPr>
      <w:r>
        <w:rPr>
          <w:rFonts w:eastAsia="Times New Roman" w:ascii="Verdana" w:hAnsi="Verdana"/>
          <w:b/>
          <w:color w:val="000000"/>
          <w:sz w:val="20"/>
          <w:szCs w:val="20"/>
          <w:lang w:eastAsia="ar-SA"/>
        </w:rPr>
        <w:t xml:space="preserve">8.3 </w:t>
      </w:r>
      <w:r>
        <w:rPr>
          <w:rFonts w:eastAsia="Times New Roman" w:ascii="Verdana" w:hAnsi="Verdana"/>
          <w:color w:val="000000"/>
          <w:sz w:val="20"/>
          <w:szCs w:val="20"/>
          <w:lang w:eastAsia="ar-SA"/>
        </w:rPr>
        <w:t>O prazo para migração, implantação, treinamento e conversão de dados correspondente a todos os sistemas será de até 30 (trinta) dias a contar da data da assinatura do contrato.</w:t>
      </w:r>
    </w:p>
    <w:p>
      <w:pPr>
        <w:pStyle w:val="Normal"/>
        <w:spacing w:lineRule="auto" w:line="276" w:before="57" w:after="57"/>
        <w:jc w:val="both"/>
        <w:rPr>
          <w:rFonts w:ascii="Verdana" w:hAnsi="Verdana"/>
          <w:sz w:val="20"/>
          <w:szCs w:val="20"/>
        </w:rPr>
      </w:pPr>
      <w:r>
        <w:rPr>
          <w:rFonts w:eastAsia="Times New Roman" w:ascii="Verdana" w:hAnsi="Verdana"/>
          <w:color w:val="000000"/>
          <w:sz w:val="20"/>
          <w:szCs w:val="20"/>
          <w:lang w:eastAsia="ar-SA"/>
        </w:rPr>
        <w:t xml:space="preserve"> </w:t>
      </w:r>
    </w:p>
    <w:p>
      <w:pPr>
        <w:pStyle w:val="Normal"/>
        <w:spacing w:lineRule="auto" w:line="276" w:before="57" w:after="57"/>
        <w:jc w:val="both"/>
        <w:rPr>
          <w:rFonts w:ascii="Verdana" w:hAnsi="Verdana"/>
          <w:sz w:val="20"/>
          <w:szCs w:val="20"/>
        </w:rPr>
      </w:pPr>
      <w:r>
        <w:rPr>
          <w:rFonts w:eastAsia="Times New Roman" w:ascii="Verdana" w:hAnsi="Verdana"/>
          <w:b/>
          <w:sz w:val="20"/>
          <w:szCs w:val="20"/>
          <w:lang w:eastAsia="ar-SA"/>
        </w:rPr>
        <w:t>CLÁUSULA NONA – DOS RECURSOS</w:t>
      </w:r>
    </w:p>
    <w:p>
      <w:pPr>
        <w:pStyle w:val="Normal"/>
        <w:spacing w:lineRule="auto" w:line="276" w:before="57" w:after="57"/>
        <w:jc w:val="both"/>
        <w:rPr>
          <w:rFonts w:ascii="Verdana" w:hAnsi="Verdana"/>
          <w:sz w:val="20"/>
          <w:szCs w:val="20"/>
        </w:rPr>
      </w:pPr>
      <w:r>
        <w:rPr>
          <w:rFonts w:eastAsia="Times New Roman" w:ascii="Verdana" w:hAnsi="Verdana"/>
          <w:b/>
          <w:sz w:val="20"/>
          <w:szCs w:val="20"/>
          <w:lang w:eastAsia="ar-SA"/>
        </w:rPr>
        <w:t xml:space="preserve">9.1 </w:t>
      </w:r>
      <w:r>
        <w:rPr>
          <w:rFonts w:eastAsia="Verdana" w:ascii="Verdana" w:hAnsi="Verdana"/>
          <w:color w:val="000000"/>
          <w:sz w:val="20"/>
          <w:szCs w:val="20"/>
          <w:lang w:eastAsia="zh-CN"/>
        </w:rPr>
        <w:t>AAs despesas decorrentes da presente contratação correrão à conta de recursos específicos consignados no Orçamento deste exercício, Projeto 000006000001.0412260012.601 - Manutenção da Caixa de Assistência do Servidor Público – Casp. Elemento 33904000000 – Serviços de Tecnologia da Informação e Comunicação – Pessoa Jurídica – Ficha 0000005 – Fonte 150000000000.</w:t>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eastAsia="Times New Roman" w:ascii="Verdana" w:hAnsi="Verdana"/>
          <w:b/>
          <w:sz w:val="20"/>
          <w:szCs w:val="20"/>
          <w:lang w:eastAsia="ar-SA"/>
        </w:rPr>
        <w:t xml:space="preserve">CLÁUSULA DÉCIMA - DA EXTINÇÃO CONTRATUAL </w:t>
      </w:r>
    </w:p>
    <w:p>
      <w:pPr>
        <w:pStyle w:val="Normal"/>
        <w:spacing w:lineRule="auto" w:line="276" w:before="57" w:after="57"/>
        <w:jc w:val="both"/>
        <w:rPr>
          <w:rFonts w:ascii="Verdana" w:hAnsi="Verdana"/>
          <w:sz w:val="20"/>
          <w:szCs w:val="20"/>
        </w:rPr>
      </w:pPr>
      <w:r>
        <w:rPr>
          <w:rFonts w:eastAsia="Times New Roman" w:ascii="Verdana" w:hAnsi="Verdana"/>
          <w:b/>
          <w:sz w:val="20"/>
          <w:szCs w:val="20"/>
          <w:lang w:eastAsia="ar-SA"/>
        </w:rPr>
        <w:t>10.1</w:t>
      </w:r>
      <w:r>
        <w:rPr>
          <w:rFonts w:eastAsia="Times New Roman" w:ascii="Verdana" w:hAnsi="Verdana"/>
          <w:bCs/>
          <w:sz w:val="20"/>
          <w:szCs w:val="20"/>
          <w:lang w:eastAsia="ar-SA"/>
        </w:rPr>
        <w:t xml:space="preserve"> O contrato poderá ser extinto antes de cumpridas as obrigações nele estipuladas, ou antes do prazo nele fixado, por algum dos motivos previstos no artigo 137 da Lei nº 14.133/21, bem como mediante comum acordo bilateral entre as partes ou, em caso de aplicação de sanção, após processo administrativo que assegure o contraditório e a ampla defesa.</w:t>
      </w:r>
    </w:p>
    <w:p>
      <w:pPr>
        <w:pStyle w:val="Normal"/>
        <w:spacing w:lineRule="auto" w:line="276" w:before="57" w:after="57"/>
        <w:jc w:val="both"/>
        <w:rPr>
          <w:rFonts w:ascii="Verdana" w:hAnsi="Verdana"/>
          <w:sz w:val="20"/>
          <w:szCs w:val="20"/>
        </w:rPr>
      </w:pPr>
      <w:r>
        <w:rPr>
          <w:rFonts w:eastAsia="Times New Roman" w:ascii="Verdana" w:hAnsi="Verdana"/>
          <w:b/>
          <w:sz w:val="20"/>
          <w:szCs w:val="20"/>
          <w:lang w:eastAsia="ar-SA"/>
        </w:rPr>
        <w:t>10.2</w:t>
      </w:r>
      <w:r>
        <w:rPr>
          <w:rFonts w:eastAsia="Times New Roman" w:ascii="Verdana" w:hAnsi="Verdana"/>
          <w:bCs/>
          <w:sz w:val="20"/>
          <w:szCs w:val="20"/>
          <w:lang w:eastAsia="ar-SA"/>
        </w:rPr>
        <w:t xml:space="preserve"> Nesta hipótese, aplicam-se também os artigos 138 e 139 da mesma Lei.</w:t>
      </w:r>
    </w:p>
    <w:p>
      <w:pPr>
        <w:pStyle w:val="Normal"/>
        <w:spacing w:lineRule="auto" w:line="276" w:before="57" w:after="57"/>
        <w:jc w:val="both"/>
        <w:rPr>
          <w:rFonts w:ascii="Verdana" w:hAnsi="Verdana"/>
          <w:sz w:val="20"/>
          <w:szCs w:val="20"/>
        </w:rPr>
      </w:pPr>
      <w:r>
        <w:rPr>
          <w:rFonts w:eastAsia="Times New Roman" w:ascii="Verdana" w:hAnsi="Verdana"/>
          <w:b/>
          <w:sz w:val="20"/>
          <w:szCs w:val="20"/>
          <w:lang w:eastAsia="ar-SA"/>
        </w:rPr>
        <w:t>10.3</w:t>
      </w:r>
      <w:r>
        <w:rPr>
          <w:rFonts w:eastAsia="Times New Roman" w:ascii="Verdana" w:hAnsi="Verdana"/>
          <w:bCs/>
          <w:sz w:val="20"/>
          <w:szCs w:val="20"/>
          <w:lang w:eastAsia="ar-SA"/>
        </w:rPr>
        <w:t xml:space="preserve"> A alteração social ou a modificação da finalidade ou da estrutura da empresa não ensejará a extinção se não restringir sua capacidade de concluir o contrato.</w:t>
      </w:r>
    </w:p>
    <w:p>
      <w:pPr>
        <w:pStyle w:val="Normal"/>
        <w:spacing w:lineRule="auto" w:line="276" w:before="57" w:after="57"/>
        <w:jc w:val="both"/>
        <w:rPr>
          <w:rFonts w:ascii="Verdana" w:hAnsi="Verdana"/>
          <w:sz w:val="20"/>
          <w:szCs w:val="20"/>
        </w:rPr>
      </w:pPr>
      <w:r>
        <w:rPr>
          <w:rFonts w:eastAsia="Times New Roman" w:ascii="Verdana" w:hAnsi="Verdana"/>
          <w:b/>
          <w:sz w:val="20"/>
          <w:szCs w:val="20"/>
          <w:lang w:eastAsia="ar-SA"/>
        </w:rPr>
        <w:t>10.4</w:t>
      </w:r>
      <w:r>
        <w:rPr>
          <w:rFonts w:eastAsia="Times New Roman" w:ascii="Verdana" w:hAnsi="Verdana"/>
          <w:bCs/>
          <w:sz w:val="20"/>
          <w:szCs w:val="20"/>
          <w:lang w:eastAsia="ar-SA"/>
        </w:rPr>
        <w:t xml:space="preserve"> Se a operação implicar mudança da pessoa jurídica contratada, deverá ser formalizado termo aditivo para alteração subjetiva.</w:t>
      </w:r>
    </w:p>
    <w:p>
      <w:pPr>
        <w:pStyle w:val="Normal"/>
        <w:spacing w:lineRule="auto" w:line="276" w:before="57" w:after="57"/>
        <w:jc w:val="both"/>
        <w:rPr>
          <w:rFonts w:ascii="Verdana" w:hAnsi="Verdana"/>
          <w:sz w:val="20"/>
          <w:szCs w:val="20"/>
        </w:rPr>
      </w:pPr>
      <w:r>
        <w:rPr>
          <w:rFonts w:eastAsia="Times New Roman" w:ascii="Verdana" w:hAnsi="Verdana"/>
          <w:b/>
          <w:sz w:val="20"/>
          <w:szCs w:val="20"/>
          <w:lang w:eastAsia="ar-SA"/>
        </w:rPr>
        <w:t>10.5</w:t>
      </w:r>
      <w:r>
        <w:rPr>
          <w:rFonts w:eastAsia="Times New Roman" w:ascii="Verdana" w:hAnsi="Verdana"/>
          <w:bCs/>
          <w:sz w:val="20"/>
          <w:szCs w:val="20"/>
          <w:lang w:eastAsia="ar-SA"/>
        </w:rPr>
        <w:t xml:space="preserve"> O termo de extinção, sempre que possível, será precedido:</w:t>
      </w:r>
    </w:p>
    <w:p>
      <w:pPr>
        <w:pStyle w:val="Normal"/>
        <w:numPr>
          <w:ilvl w:val="0"/>
          <w:numId w:val="5"/>
        </w:numPr>
        <w:spacing w:lineRule="auto" w:line="276" w:before="57" w:after="57"/>
        <w:jc w:val="both"/>
        <w:rPr/>
      </w:pPr>
      <w:r>
        <w:rPr>
          <w:rFonts w:eastAsia="Times New Roman" w:ascii="Verdana" w:hAnsi="Verdana"/>
          <w:bCs/>
          <w:sz w:val="20"/>
          <w:szCs w:val="20"/>
          <w:lang w:eastAsia="ar-SA"/>
        </w:rPr>
        <w:t>Balanço dos eventos contratuais já cumpridos ou parcialmente cumpridos;</w:t>
      </w:r>
    </w:p>
    <w:p>
      <w:pPr>
        <w:pStyle w:val="Normal"/>
        <w:numPr>
          <w:ilvl w:val="0"/>
          <w:numId w:val="5"/>
        </w:numPr>
        <w:spacing w:lineRule="auto" w:line="276" w:before="57" w:after="57"/>
        <w:jc w:val="both"/>
        <w:rPr/>
      </w:pPr>
      <w:r>
        <w:rPr>
          <w:rFonts w:eastAsia="Times New Roman" w:ascii="Verdana" w:hAnsi="Verdana"/>
          <w:bCs/>
          <w:sz w:val="20"/>
          <w:szCs w:val="20"/>
          <w:lang w:eastAsia="ar-SA"/>
        </w:rPr>
        <w:t>Relação dos pagamentos já efetuados e ainda devidos;</w:t>
      </w:r>
    </w:p>
    <w:p>
      <w:pPr>
        <w:pStyle w:val="Normal"/>
        <w:numPr>
          <w:ilvl w:val="0"/>
          <w:numId w:val="5"/>
        </w:numPr>
        <w:spacing w:lineRule="auto" w:line="276" w:before="57" w:after="57"/>
        <w:jc w:val="both"/>
        <w:rPr>
          <w:rFonts w:ascii="Verdana" w:hAnsi="Verdana"/>
          <w:sz w:val="20"/>
          <w:szCs w:val="20"/>
        </w:rPr>
      </w:pPr>
      <w:r>
        <w:rPr>
          <w:rFonts w:eastAsia="Times New Roman" w:ascii="Verdana" w:hAnsi="Verdana"/>
          <w:bCs/>
          <w:sz w:val="20"/>
          <w:szCs w:val="20"/>
          <w:lang w:eastAsia="ar-SA"/>
        </w:rPr>
        <w:t>Indenizações e multas.</w:t>
      </w:r>
    </w:p>
    <w:p>
      <w:pPr>
        <w:pStyle w:val="Normal"/>
        <w:spacing w:lineRule="auto" w:line="276" w:before="57" w:after="57"/>
        <w:jc w:val="both"/>
        <w:rPr>
          <w:rFonts w:ascii="Verdana" w:hAnsi="Verdana"/>
          <w:sz w:val="20"/>
          <w:szCs w:val="20"/>
        </w:rPr>
      </w:pPr>
      <w:r>
        <w:rPr>
          <w:rFonts w:eastAsia="Times New Roman" w:ascii="Verdana" w:hAnsi="Verdana"/>
          <w:b/>
          <w:sz w:val="20"/>
          <w:szCs w:val="20"/>
          <w:lang w:eastAsia="ar-SA"/>
        </w:rPr>
        <w:t>10.6</w:t>
      </w:r>
      <w:r>
        <w:rPr>
          <w:rFonts w:eastAsia="Times New Roman" w:ascii="Verdana" w:hAnsi="Verdana"/>
          <w:bCs/>
          <w:sz w:val="20"/>
          <w:szCs w:val="20"/>
          <w:lang w:eastAsia="ar-SA"/>
        </w:rPr>
        <w:t xml:space="preserve"> A extinção do contrato não configura óbice para o reconhecimento do desequilíbrio econômico-financeiro, hipótese em que será concedida indenização por meio de termo indenizatório (art. 131, caput, da Lei n.º 14.133, de 2021). </w:t>
      </w:r>
    </w:p>
    <w:p>
      <w:pPr>
        <w:pStyle w:val="Normal"/>
        <w:spacing w:lineRule="auto" w:line="276" w:before="57" w:after="57"/>
        <w:jc w:val="both"/>
        <w:rPr>
          <w:rFonts w:ascii="Verdana" w:hAnsi="Verdana"/>
          <w:sz w:val="20"/>
          <w:szCs w:val="20"/>
        </w:rPr>
      </w:pPr>
      <w:r>
        <w:rPr>
          <w:rFonts w:eastAsia="Times New Roman" w:ascii="Verdana" w:hAnsi="Verdana"/>
          <w:b/>
          <w:sz w:val="20"/>
          <w:szCs w:val="20"/>
          <w:lang w:eastAsia="ar-SA"/>
        </w:rPr>
        <w:t>10.7</w:t>
      </w:r>
      <w:r>
        <w:rPr>
          <w:rFonts w:eastAsia="Times New Roman" w:ascii="Verdana" w:hAnsi="Verdana"/>
          <w:bCs/>
          <w:sz w:val="20"/>
          <w:szCs w:val="20"/>
          <w:lang w:eastAsia="ar-SA"/>
        </w:rPr>
        <w:t xml:space="preserve"> O contrato poderá ser extinto:</w:t>
      </w:r>
    </w:p>
    <w:p>
      <w:pPr>
        <w:pStyle w:val="Normal"/>
        <w:numPr>
          <w:ilvl w:val="0"/>
          <w:numId w:val="4"/>
        </w:numPr>
        <w:spacing w:lineRule="auto" w:line="276" w:before="57" w:after="57"/>
        <w:jc w:val="both"/>
        <w:rPr>
          <w:rFonts w:ascii="Verdana" w:hAnsi="Verdana"/>
          <w:sz w:val="20"/>
          <w:szCs w:val="20"/>
        </w:rPr>
      </w:pPr>
      <w:r>
        <w:rPr>
          <w:rFonts w:eastAsia="Times New Roman" w:ascii="Verdana" w:hAnsi="Verdana"/>
          <w:bCs/>
          <w:sz w:val="20"/>
          <w:szCs w:val="20"/>
          <w:lang w:eastAsia="ar-SA"/>
        </w:rPr>
        <w:t>Caso se constate que o contratado mantém vínculo de natureza técnica, comercial, econômica, financeira, trabalhista ou civil com dirigente do órgão ou entidade contratante ou com agente público que tenha desempenhado função na licitação no processo de contratação direta ou atue na fiscalização ou na gestão do contrato, ou que deles seja cônjuge, companheiro ou parente em linha reta, colateral ou por afinidade, até o terceiro grau (art. 14, inciso IV, da Lei n.º 14.133, de 2021);</w:t>
      </w:r>
    </w:p>
    <w:p>
      <w:pPr>
        <w:pStyle w:val="Normal"/>
        <w:numPr>
          <w:ilvl w:val="0"/>
          <w:numId w:val="4"/>
        </w:numPr>
        <w:spacing w:before="57" w:after="57"/>
        <w:jc w:val="both"/>
        <w:rPr>
          <w:rFonts w:ascii="Verdana" w:hAnsi="Verdana"/>
          <w:sz w:val="20"/>
          <w:szCs w:val="20"/>
        </w:rPr>
      </w:pPr>
      <w:r>
        <w:rPr>
          <w:rFonts w:eastAsia="Times New Roman" w:ascii="Verdana" w:hAnsi="Verdana"/>
          <w:bCs/>
          <w:sz w:val="20"/>
          <w:szCs w:val="20"/>
          <w:lang w:eastAsia="ar-SA"/>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pPr>
        <w:pStyle w:val="Normal"/>
        <w:numPr>
          <w:ilvl w:val="0"/>
          <w:numId w:val="4"/>
        </w:numPr>
        <w:spacing w:before="57" w:after="57"/>
        <w:jc w:val="both"/>
        <w:rPr>
          <w:rFonts w:ascii="Verdana" w:hAnsi="Verdana"/>
          <w:sz w:val="20"/>
          <w:szCs w:val="20"/>
        </w:rPr>
      </w:pPr>
      <w:r>
        <w:rPr>
          <w:rFonts w:eastAsia="Times New Roman" w:ascii="Verdana" w:hAnsi="Verdana"/>
          <w:bCs/>
          <w:sz w:val="20"/>
          <w:szCs w:val="20"/>
          <w:lang w:eastAsia="ar-SA"/>
        </w:rPr>
        <w:t>Caso a empresa seja extinta.</w:t>
      </w:r>
    </w:p>
    <w:p>
      <w:pPr>
        <w:pStyle w:val="NoSpacing"/>
        <w:spacing w:lineRule="auto" w:line="276" w:before="57" w:after="57"/>
        <w:jc w:val="both"/>
        <w:rPr>
          <w:rFonts w:ascii="Verdana" w:hAnsi="Verdana"/>
          <w:color w:val="FFC000"/>
          <w:sz w:val="20"/>
          <w:szCs w:val="20"/>
        </w:rPr>
      </w:pPr>
      <w:r>
        <w:rPr>
          <w:rFonts w:ascii="Verdana" w:hAnsi="Verdana"/>
          <w:color w:val="FFC000"/>
          <w:sz w:val="20"/>
          <w:szCs w:val="20"/>
        </w:rPr>
      </w:r>
    </w:p>
    <w:p>
      <w:pPr>
        <w:pStyle w:val="NoSpacing"/>
        <w:spacing w:lineRule="auto" w:line="276" w:before="57" w:after="57"/>
        <w:jc w:val="both"/>
        <w:rPr>
          <w:rFonts w:ascii="Verdana" w:hAnsi="Verdana"/>
          <w:sz w:val="20"/>
          <w:szCs w:val="20"/>
        </w:rPr>
      </w:pPr>
      <w:r>
        <w:rPr>
          <w:rFonts w:ascii="Verdana" w:hAnsi="Verdana"/>
          <w:b/>
          <w:bCs/>
          <w:sz w:val="20"/>
          <w:szCs w:val="20"/>
        </w:rPr>
        <w:t xml:space="preserve">CLÁUSULA </w:t>
      </w:r>
      <w:r>
        <w:rPr>
          <w:rFonts w:ascii="Verdana" w:hAnsi="Verdana"/>
          <w:b/>
          <w:bCs/>
          <w:sz w:val="20"/>
          <w:szCs w:val="20"/>
          <w:lang w:eastAsia="zh-CN"/>
        </w:rPr>
        <w:t>DÉCIMA PRIMEIRA</w:t>
      </w:r>
      <w:r>
        <w:rPr>
          <w:rFonts w:ascii="Verdana" w:hAnsi="Verdana"/>
          <w:b/>
          <w:bCs/>
          <w:sz w:val="20"/>
          <w:szCs w:val="20"/>
        </w:rPr>
        <w:t xml:space="preserve"> - DAS SANÇÕES </w:t>
      </w:r>
    </w:p>
    <w:p>
      <w:pPr>
        <w:pStyle w:val="NoSpacing"/>
        <w:spacing w:lineRule="auto" w:line="276" w:before="57" w:after="57"/>
        <w:jc w:val="both"/>
        <w:rPr>
          <w:rFonts w:ascii="Verdana" w:hAnsi="Verdana"/>
          <w:sz w:val="20"/>
          <w:szCs w:val="20"/>
        </w:rPr>
      </w:pPr>
      <w:r>
        <w:rPr>
          <w:rFonts w:ascii="Verdana" w:hAnsi="Verdana"/>
          <w:b/>
          <w:bCs/>
          <w:sz w:val="20"/>
          <w:szCs w:val="20"/>
        </w:rPr>
        <w:t xml:space="preserve">11.1 </w:t>
      </w:r>
      <w:r>
        <w:rPr>
          <w:rFonts w:ascii="Verdana" w:hAnsi="Verdana"/>
          <w:sz w:val="20"/>
          <w:szCs w:val="20"/>
        </w:rPr>
        <w:t>Comete infração administrativa, nos termos da Lei nº 14.133, de 2021, o contratado que:</w:t>
      </w:r>
    </w:p>
    <w:p>
      <w:pPr>
        <w:pStyle w:val="NoSpacing"/>
        <w:numPr>
          <w:ilvl w:val="0"/>
          <w:numId w:val="6"/>
        </w:numPr>
        <w:spacing w:lineRule="auto" w:line="276" w:before="57" w:after="57"/>
        <w:jc w:val="both"/>
        <w:rPr/>
      </w:pPr>
      <w:r>
        <w:rPr>
          <w:rFonts w:ascii="Verdana" w:hAnsi="Verdana"/>
          <w:sz w:val="20"/>
          <w:szCs w:val="20"/>
        </w:rPr>
        <w:t>der causa à inexecução parcial do contrato;</w:t>
      </w:r>
    </w:p>
    <w:p>
      <w:pPr>
        <w:pStyle w:val="NoSpacing"/>
        <w:numPr>
          <w:ilvl w:val="0"/>
          <w:numId w:val="6"/>
        </w:numPr>
        <w:spacing w:lineRule="auto" w:line="276" w:before="57" w:after="57"/>
        <w:jc w:val="both"/>
        <w:rPr/>
      </w:pPr>
      <w:r>
        <w:rPr>
          <w:rFonts w:ascii="Verdana" w:hAnsi="Verdana"/>
          <w:sz w:val="20"/>
          <w:szCs w:val="20"/>
        </w:rPr>
        <w:t xml:space="preserve">der causa à inexecução parcial do contrato que cause grave dano à Administração ou ao funcionamento dos serviços públicos ou ao interesse coletivo; </w:t>
      </w:r>
    </w:p>
    <w:p>
      <w:pPr>
        <w:pStyle w:val="NoSpacing"/>
        <w:numPr>
          <w:ilvl w:val="0"/>
          <w:numId w:val="6"/>
        </w:numPr>
        <w:spacing w:lineRule="auto" w:line="276" w:before="57" w:after="57"/>
        <w:jc w:val="both"/>
        <w:rPr/>
      </w:pPr>
      <w:r>
        <w:rPr>
          <w:rFonts w:ascii="Verdana" w:hAnsi="Verdana"/>
          <w:sz w:val="20"/>
          <w:szCs w:val="20"/>
        </w:rPr>
        <w:t>der causa à inexecução total do contrato;</w:t>
      </w:r>
    </w:p>
    <w:p>
      <w:pPr>
        <w:pStyle w:val="NoSpacing"/>
        <w:numPr>
          <w:ilvl w:val="0"/>
          <w:numId w:val="6"/>
        </w:numPr>
        <w:spacing w:lineRule="auto" w:line="276" w:before="57" w:after="57"/>
        <w:jc w:val="both"/>
        <w:rPr/>
      </w:pPr>
      <w:r>
        <w:rPr>
          <w:rFonts w:ascii="Verdana" w:hAnsi="Verdana"/>
          <w:sz w:val="20"/>
          <w:szCs w:val="20"/>
        </w:rPr>
        <w:t>ensejar o retardamento da execução ou da entrega do objeto da contratação sem motivo justificado;</w:t>
      </w:r>
    </w:p>
    <w:p>
      <w:pPr>
        <w:pStyle w:val="NoSpacing"/>
        <w:numPr>
          <w:ilvl w:val="0"/>
          <w:numId w:val="6"/>
        </w:numPr>
        <w:spacing w:lineRule="auto" w:line="276" w:before="57" w:after="57"/>
        <w:jc w:val="both"/>
        <w:rPr/>
      </w:pPr>
      <w:r>
        <w:rPr>
          <w:rFonts w:ascii="Verdana" w:hAnsi="Verdana"/>
          <w:sz w:val="20"/>
          <w:szCs w:val="20"/>
        </w:rPr>
        <w:t xml:space="preserve">apresentar documentação falsa ou prestar declaração falsa durante a execução do contrato; </w:t>
      </w:r>
    </w:p>
    <w:p>
      <w:pPr>
        <w:pStyle w:val="NoSpacing"/>
        <w:numPr>
          <w:ilvl w:val="0"/>
          <w:numId w:val="6"/>
        </w:numPr>
        <w:spacing w:lineRule="auto" w:line="276" w:before="57" w:after="57"/>
        <w:jc w:val="both"/>
        <w:rPr/>
      </w:pPr>
      <w:r>
        <w:rPr>
          <w:rFonts w:ascii="Verdana" w:hAnsi="Verdana"/>
          <w:sz w:val="20"/>
          <w:szCs w:val="20"/>
        </w:rPr>
        <w:t xml:space="preserve">praticar ato fraudulento na execução do contrato; </w:t>
      </w:r>
    </w:p>
    <w:p>
      <w:pPr>
        <w:pStyle w:val="NoSpacing"/>
        <w:numPr>
          <w:ilvl w:val="0"/>
          <w:numId w:val="6"/>
        </w:numPr>
        <w:spacing w:lineRule="auto" w:line="276" w:before="57" w:after="57"/>
        <w:jc w:val="both"/>
        <w:rPr/>
      </w:pPr>
      <w:r>
        <w:rPr>
          <w:rFonts w:ascii="Verdana" w:hAnsi="Verdana"/>
          <w:sz w:val="20"/>
          <w:szCs w:val="20"/>
        </w:rPr>
        <w:t xml:space="preserve">comportar-se de modo inidôneo ou cometer fraude de qualquer natureza; </w:t>
      </w:r>
    </w:p>
    <w:p>
      <w:pPr>
        <w:pStyle w:val="NoSpacing"/>
        <w:numPr>
          <w:ilvl w:val="0"/>
          <w:numId w:val="6"/>
        </w:numPr>
        <w:spacing w:lineRule="auto" w:line="276" w:before="57" w:after="57"/>
        <w:jc w:val="both"/>
        <w:rPr>
          <w:rFonts w:ascii="Verdana" w:hAnsi="Verdana"/>
          <w:sz w:val="20"/>
          <w:szCs w:val="20"/>
        </w:rPr>
      </w:pPr>
      <w:r>
        <w:rPr>
          <w:rFonts w:ascii="Verdana" w:hAnsi="Verdana"/>
          <w:sz w:val="20"/>
          <w:szCs w:val="20"/>
        </w:rPr>
        <w:t xml:space="preserve">praticar ato lesivo previsto no art. 5º da Lei nº 12.846, de 1º de agosto de 2013. </w:t>
      </w:r>
    </w:p>
    <w:p>
      <w:pPr>
        <w:pStyle w:val="NoSpacing"/>
        <w:spacing w:lineRule="auto" w:line="276" w:before="57" w:after="57"/>
        <w:jc w:val="both"/>
        <w:rPr>
          <w:rFonts w:ascii="Verdana" w:hAnsi="Verdana"/>
          <w:sz w:val="20"/>
          <w:szCs w:val="20"/>
        </w:rPr>
      </w:pPr>
      <w:r>
        <w:rPr>
          <w:rFonts w:ascii="Verdana" w:hAnsi="Verdana"/>
          <w:b/>
          <w:bCs/>
          <w:sz w:val="20"/>
          <w:szCs w:val="20"/>
        </w:rPr>
        <w:t>11.2</w:t>
      </w:r>
      <w:r>
        <w:rPr>
          <w:rFonts w:ascii="Verdana" w:hAnsi="Verdana"/>
          <w:sz w:val="20"/>
          <w:szCs w:val="20"/>
        </w:rPr>
        <w:t xml:space="preserve"> Serão aplicadas ao contratado que incorrer nas infrações acima descritas as seguintes sanções:</w:t>
      </w:r>
    </w:p>
    <w:p>
      <w:pPr>
        <w:pStyle w:val="NoSpacing"/>
        <w:numPr>
          <w:ilvl w:val="0"/>
          <w:numId w:val="7"/>
        </w:numPr>
        <w:spacing w:lineRule="auto" w:line="276" w:before="57" w:after="57"/>
        <w:jc w:val="both"/>
        <w:rPr/>
      </w:pPr>
      <w:r>
        <w:rPr>
          <w:rFonts w:ascii="Verdana" w:hAnsi="Verdana"/>
          <w:sz w:val="20"/>
          <w:szCs w:val="20"/>
        </w:rPr>
        <w:t>Advertência, quando o contratado der causa à inexecução parcial do contrato, sempre que não se justificar a imposição de penalidade mais grave, conforme art. 156, §2º, da Lei nº 14.133/21;</w:t>
      </w:r>
    </w:p>
    <w:p>
      <w:pPr>
        <w:pStyle w:val="NoSpacing"/>
        <w:numPr>
          <w:ilvl w:val="0"/>
          <w:numId w:val="7"/>
        </w:numPr>
        <w:spacing w:lineRule="auto" w:line="276" w:before="57" w:after="57"/>
        <w:jc w:val="both"/>
        <w:rPr/>
      </w:pPr>
      <w:r>
        <w:rPr>
          <w:rFonts w:ascii="Verdana" w:hAnsi="Verdana"/>
          <w:sz w:val="20"/>
          <w:szCs w:val="20"/>
        </w:rPr>
        <w:t>Impedimento de licitar e contratar, quando praticadas as condutas descritas nas alíneas “b”, “c” e “d” do subitem acima deste Contrato, sempre que não se justificar a imposição de penalidade mais grave, conforme art. 156, § 4º, da Lei nº 14.133/21;</w:t>
      </w:r>
    </w:p>
    <w:p>
      <w:pPr>
        <w:pStyle w:val="NoSpacing"/>
        <w:numPr>
          <w:ilvl w:val="0"/>
          <w:numId w:val="7"/>
        </w:numPr>
        <w:spacing w:lineRule="auto" w:line="276" w:before="57" w:after="57"/>
        <w:jc w:val="both"/>
        <w:rPr/>
      </w:pPr>
      <w:r>
        <w:rPr>
          <w:rFonts w:ascii="Verdana" w:hAnsi="Verdana"/>
          <w:sz w:val="20"/>
          <w:szCs w:val="20"/>
        </w:rPr>
        <w:t>Declaração de inidoneidade para licitar e contratar, quando praticadas as condutas descritas nas alíneas “e”, “f”, “g” e “h” do subitem acima deste Contrato, bem como nas alíneas “b”, “c” e “d”, que justifiquem a imposição de penalidade mais grave, conforme art. 156, §5º, da Lei nº 14.133/21.</w:t>
      </w:r>
    </w:p>
    <w:p>
      <w:pPr>
        <w:pStyle w:val="NoSpacing"/>
        <w:numPr>
          <w:ilvl w:val="0"/>
          <w:numId w:val="7"/>
        </w:numPr>
        <w:spacing w:lineRule="auto" w:line="276" w:before="57" w:after="57"/>
        <w:jc w:val="both"/>
        <w:rPr/>
      </w:pPr>
      <w:r>
        <w:rPr>
          <w:rFonts w:ascii="Verdana" w:hAnsi="Verdana"/>
          <w:sz w:val="20"/>
          <w:szCs w:val="20"/>
        </w:rPr>
        <w:t>Multa moratória de 1% (um por cento) por dia de atraso injustificado sobre o valor da parcela inadimplida, até o limite de 30 (trinta) dias;</w:t>
      </w:r>
    </w:p>
    <w:p>
      <w:pPr>
        <w:pStyle w:val="NoSpacing"/>
        <w:numPr>
          <w:ilvl w:val="0"/>
          <w:numId w:val="7"/>
        </w:numPr>
        <w:spacing w:lineRule="auto" w:line="276" w:before="57" w:after="57"/>
        <w:jc w:val="both"/>
        <w:rPr/>
      </w:pPr>
      <w:r>
        <w:rPr>
          <w:rFonts w:ascii="Verdana" w:hAnsi="Verdana"/>
          <w:sz w:val="20"/>
          <w:szCs w:val="20"/>
        </w:rPr>
        <w:t>Ultrapassado o prazo de 30 (trinta) dias de atraso, fica autorizado à contratante a rescisão contratual por culpa da contratada, convertendo-se a multa em compensatória de 30% (trinta por cento) sobre o valor total do contrato.</w:t>
      </w:r>
    </w:p>
    <w:p>
      <w:pPr>
        <w:pStyle w:val="NoSpacing"/>
        <w:numPr>
          <w:ilvl w:val="0"/>
          <w:numId w:val="7"/>
        </w:numPr>
        <w:spacing w:lineRule="auto" w:line="276" w:before="57" w:after="57"/>
        <w:jc w:val="both"/>
        <w:rPr>
          <w:rFonts w:ascii="Verdana" w:hAnsi="Verdana"/>
          <w:sz w:val="20"/>
          <w:szCs w:val="20"/>
        </w:rPr>
      </w:pPr>
      <w:r>
        <w:rPr>
          <w:rFonts w:ascii="Verdana" w:hAnsi="Verdana"/>
          <w:sz w:val="20"/>
          <w:szCs w:val="20"/>
        </w:rPr>
        <w:t>Aplicam-se a este contrato as multas compensatórias previstas no Termo de Referência.</w:t>
      </w:r>
    </w:p>
    <w:p>
      <w:pPr>
        <w:pStyle w:val="NoSpacing"/>
        <w:spacing w:lineRule="auto" w:line="276" w:before="57" w:after="57"/>
        <w:jc w:val="both"/>
        <w:rPr>
          <w:rFonts w:ascii="Verdana" w:hAnsi="Verdana"/>
          <w:sz w:val="20"/>
          <w:szCs w:val="20"/>
        </w:rPr>
      </w:pPr>
      <w:r>
        <w:rPr>
          <w:rFonts w:ascii="Verdana" w:hAnsi="Verdana"/>
          <w:b/>
          <w:bCs/>
          <w:sz w:val="20"/>
          <w:szCs w:val="20"/>
        </w:rPr>
        <w:t>11.3</w:t>
      </w:r>
      <w:r>
        <w:rPr>
          <w:rFonts w:ascii="Verdana" w:hAnsi="Verdana"/>
          <w:sz w:val="20"/>
          <w:szCs w:val="20"/>
        </w:rPr>
        <w:t xml:space="preserve"> A aplicação das sanções previstas neste Contrato não exclui, em hipótese alguma, a obrigação de reparação integral do dano causado ao Contratante (art. 156, §9º, da Lei nº 14.133/21).</w:t>
      </w:r>
    </w:p>
    <w:p>
      <w:pPr>
        <w:pStyle w:val="NoSpacing"/>
        <w:spacing w:lineRule="auto" w:line="276" w:before="57" w:after="57"/>
        <w:jc w:val="both"/>
        <w:rPr>
          <w:rFonts w:ascii="Verdana" w:hAnsi="Verdana"/>
          <w:sz w:val="20"/>
          <w:szCs w:val="20"/>
        </w:rPr>
      </w:pPr>
      <w:r>
        <w:rPr>
          <w:rFonts w:ascii="Verdana" w:hAnsi="Verdana"/>
          <w:b/>
          <w:bCs/>
          <w:sz w:val="20"/>
          <w:szCs w:val="20"/>
        </w:rPr>
        <w:t>11.4</w:t>
      </w:r>
      <w:r>
        <w:rPr>
          <w:rFonts w:ascii="Verdana" w:hAnsi="Verdana"/>
          <w:sz w:val="20"/>
          <w:szCs w:val="20"/>
        </w:rPr>
        <w:t xml:space="preserve"> Todas as sanções previstas neste Contrato poderão ser aplicadas cumulativamente com a multa (art. 156, §7º, da Lei nº 14.133/21).</w:t>
      </w:r>
    </w:p>
    <w:p>
      <w:pPr>
        <w:pStyle w:val="NoSpacing"/>
        <w:spacing w:lineRule="auto" w:line="276" w:before="57" w:after="57"/>
        <w:jc w:val="both"/>
        <w:rPr>
          <w:rFonts w:ascii="Verdana" w:hAnsi="Verdana"/>
          <w:sz w:val="20"/>
          <w:szCs w:val="20"/>
        </w:rPr>
      </w:pPr>
      <w:r>
        <w:rPr>
          <w:rFonts w:ascii="Verdana" w:hAnsi="Verdana"/>
          <w:b/>
          <w:bCs/>
          <w:sz w:val="20"/>
          <w:szCs w:val="20"/>
        </w:rPr>
        <w:t>11.4.1</w:t>
      </w:r>
      <w:r>
        <w:rPr>
          <w:rFonts w:ascii="Verdana" w:hAnsi="Verdana"/>
          <w:sz w:val="20"/>
          <w:szCs w:val="20"/>
        </w:rPr>
        <w:t xml:space="preserve"> Antes da aplicação da multa será facultada a defesa do interessado no prazo de 15 (quinze) dias úteis, contado da data de sua intimação (art. 157, da Lei nº 14.133/21)</w:t>
      </w:r>
    </w:p>
    <w:p>
      <w:pPr>
        <w:pStyle w:val="NoSpacing"/>
        <w:spacing w:lineRule="auto" w:line="276" w:before="57" w:after="57"/>
        <w:jc w:val="both"/>
        <w:rPr>
          <w:rFonts w:ascii="Verdana" w:hAnsi="Verdana"/>
          <w:sz w:val="20"/>
          <w:szCs w:val="20"/>
        </w:rPr>
      </w:pPr>
      <w:r>
        <w:rPr>
          <w:rFonts w:ascii="Verdana" w:hAnsi="Verdana"/>
          <w:b/>
          <w:bCs/>
          <w:sz w:val="20"/>
          <w:szCs w:val="20"/>
        </w:rPr>
        <w:t>11.4.2</w:t>
      </w:r>
      <w:r>
        <w:rPr>
          <w:rFonts w:ascii="Verdana" w:hAnsi="Verdana"/>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14.133/21).</w:t>
      </w:r>
    </w:p>
    <w:p>
      <w:pPr>
        <w:pStyle w:val="NoSpacing"/>
        <w:spacing w:lineRule="auto" w:line="276" w:before="57" w:after="57"/>
        <w:jc w:val="both"/>
        <w:rPr>
          <w:rFonts w:ascii="Verdana" w:hAnsi="Verdana"/>
          <w:sz w:val="20"/>
          <w:szCs w:val="20"/>
        </w:rPr>
      </w:pPr>
      <w:r>
        <w:rPr>
          <w:rFonts w:ascii="Verdana" w:hAnsi="Verdana"/>
          <w:b/>
          <w:bCs/>
          <w:sz w:val="20"/>
          <w:szCs w:val="20"/>
        </w:rPr>
        <w:t>11.4.3</w:t>
      </w:r>
      <w:r>
        <w:rPr>
          <w:rFonts w:ascii="Verdana" w:hAnsi="Verdana"/>
          <w:sz w:val="20"/>
          <w:szCs w:val="20"/>
        </w:rPr>
        <w:t xml:space="preserve"> Previamente ao encaminhamento à cobrança judicial, a multa poderá ser recolhida administrativamente no prazo máximo de 5 (cinco) dias, a contar da data do recebimento da comunicação enviada pela autoridade competente.</w:t>
      </w:r>
    </w:p>
    <w:p>
      <w:pPr>
        <w:pStyle w:val="NoSpacing"/>
        <w:spacing w:lineRule="auto" w:line="276" w:before="57" w:after="57"/>
        <w:jc w:val="both"/>
        <w:rPr>
          <w:rFonts w:ascii="Verdana" w:hAnsi="Verdana"/>
          <w:sz w:val="20"/>
          <w:szCs w:val="20"/>
        </w:rPr>
      </w:pPr>
      <w:r>
        <w:rPr>
          <w:rFonts w:ascii="Verdana" w:hAnsi="Verdana"/>
          <w:b/>
          <w:bCs/>
          <w:sz w:val="20"/>
          <w:szCs w:val="20"/>
        </w:rPr>
        <w:t>11.5</w:t>
      </w:r>
      <w:r>
        <w:rPr>
          <w:rFonts w:ascii="Verdana" w:hAnsi="Verdana"/>
          <w:sz w:val="20"/>
          <w:szCs w:val="20"/>
        </w:rPr>
        <w:t xml:space="preserve"> A aplicação das sanções realizar-se-á em processo administrativo que assegure o contraditório e a ampla defesa ao Contratado, observando-se o procedimento previsto no caput e parágrafos do art. 158 da Lei nº 14.133/21, para as penalidades de impedimento de licitar e contratar e de declaração de inidoneidade para licitar ou contratar.</w:t>
      </w:r>
    </w:p>
    <w:p>
      <w:pPr>
        <w:pStyle w:val="NoSpacing"/>
        <w:spacing w:lineRule="auto" w:line="276" w:before="57" w:after="57"/>
        <w:jc w:val="both"/>
        <w:rPr>
          <w:rFonts w:ascii="Verdana" w:hAnsi="Verdana"/>
          <w:sz w:val="20"/>
          <w:szCs w:val="20"/>
        </w:rPr>
      </w:pPr>
      <w:r>
        <w:rPr>
          <w:rFonts w:ascii="Verdana" w:hAnsi="Verdana"/>
          <w:b/>
          <w:bCs/>
          <w:sz w:val="20"/>
          <w:szCs w:val="20"/>
        </w:rPr>
        <w:t>11.5.1</w:t>
      </w:r>
      <w:r>
        <w:rPr>
          <w:rFonts w:ascii="Verdana" w:hAnsi="Verdana"/>
          <w:sz w:val="20"/>
          <w:szCs w:val="20"/>
        </w:rPr>
        <w:t xml:space="preserve"> Na aplicação das sanções serão considerados os aspectos elencados no art. 156, §1º, da Lei nº 14.133/21.</w:t>
      </w:r>
    </w:p>
    <w:p>
      <w:pPr>
        <w:pStyle w:val="NoSpacing"/>
        <w:spacing w:lineRule="auto" w:line="276" w:before="57" w:after="57"/>
        <w:jc w:val="both"/>
        <w:rPr>
          <w:rFonts w:ascii="Verdana" w:hAnsi="Verdana"/>
          <w:sz w:val="20"/>
          <w:szCs w:val="20"/>
        </w:rPr>
      </w:pPr>
      <w:r>
        <w:rPr>
          <w:rFonts w:ascii="Verdana" w:hAnsi="Verdana"/>
          <w:b/>
          <w:bCs/>
          <w:sz w:val="20"/>
          <w:szCs w:val="20"/>
        </w:rPr>
        <w:t>11.5.2</w:t>
      </w:r>
      <w:r>
        <w:rPr>
          <w:rFonts w:ascii="Verdana" w:hAnsi="Verdana"/>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pPr>
        <w:pStyle w:val="NoSpacing"/>
        <w:spacing w:lineRule="auto" w:line="276" w:before="57" w:after="57"/>
        <w:jc w:val="both"/>
        <w:rPr>
          <w:rFonts w:ascii="Verdana" w:hAnsi="Verdana"/>
          <w:sz w:val="20"/>
          <w:szCs w:val="20"/>
        </w:rPr>
      </w:pPr>
      <w:r>
        <w:rPr>
          <w:rFonts w:ascii="Verdana" w:hAnsi="Verdana"/>
          <w:b/>
          <w:bCs/>
          <w:sz w:val="20"/>
          <w:szCs w:val="20"/>
        </w:rPr>
        <w:t>11.5.3</w:t>
      </w:r>
      <w:r>
        <w:rPr>
          <w:rFonts w:ascii="Verdana" w:hAnsi="Verdana"/>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pPr>
        <w:pStyle w:val="NoSpacing"/>
        <w:spacing w:lineRule="auto" w:line="276" w:before="57" w:after="57"/>
        <w:jc w:val="both"/>
        <w:rPr>
          <w:rFonts w:ascii="Verdana" w:hAnsi="Verdana"/>
          <w:color w:val="FFC000"/>
          <w:sz w:val="20"/>
          <w:szCs w:val="20"/>
        </w:rPr>
      </w:pPr>
      <w:r>
        <w:rPr>
          <w:rFonts w:ascii="Verdana" w:hAnsi="Verdana"/>
          <w:color w:val="FFC000"/>
          <w:sz w:val="20"/>
          <w:szCs w:val="20"/>
        </w:rPr>
      </w:r>
    </w:p>
    <w:p>
      <w:pPr>
        <w:pStyle w:val="Normal"/>
        <w:spacing w:lineRule="auto" w:line="276" w:before="57" w:after="57"/>
        <w:jc w:val="both"/>
        <w:rPr>
          <w:rFonts w:ascii="Verdana" w:hAnsi="Verdana"/>
          <w:sz w:val="20"/>
          <w:szCs w:val="20"/>
        </w:rPr>
      </w:pPr>
      <w:r>
        <w:rPr>
          <w:rFonts w:ascii="Verdana" w:hAnsi="Verdana"/>
          <w:b/>
          <w:bCs/>
          <w:sz w:val="20"/>
          <w:szCs w:val="20"/>
        </w:rPr>
        <w:t xml:space="preserve">CLÁUSULA </w:t>
      </w:r>
      <w:r>
        <w:rPr>
          <w:rFonts w:ascii="Verdana" w:hAnsi="Verdana"/>
          <w:b/>
          <w:bCs/>
          <w:sz w:val="20"/>
          <w:szCs w:val="20"/>
          <w:lang w:eastAsia="zh-CN"/>
        </w:rPr>
        <w:t>DÉCIMA SEGUNDA</w:t>
      </w:r>
      <w:r>
        <w:rPr>
          <w:rFonts w:ascii="Verdana" w:hAnsi="Verdana"/>
          <w:b/>
          <w:bCs/>
          <w:sz w:val="20"/>
          <w:szCs w:val="20"/>
        </w:rPr>
        <w:t xml:space="preserve"> – DAS </w:t>
      </w:r>
      <w:r>
        <w:rPr>
          <w:rFonts w:eastAsia="Verdana" w:ascii="Verdana" w:hAnsi="Verdana"/>
          <w:b/>
          <w:color w:val="000000"/>
          <w:sz w:val="20"/>
          <w:szCs w:val="20"/>
        </w:rPr>
        <w:t>OBRIGAÇÕES DA CONTRATADA</w:t>
      </w:r>
    </w:p>
    <w:p>
      <w:pPr>
        <w:pStyle w:val="Normal"/>
        <w:widowControl w:val="false"/>
        <w:spacing w:lineRule="auto" w:line="276" w:before="57" w:after="57"/>
        <w:jc w:val="both"/>
        <w:rPr>
          <w:rFonts w:ascii="Verdana" w:hAnsi="Verdana"/>
          <w:sz w:val="20"/>
          <w:szCs w:val="20"/>
        </w:rPr>
      </w:pPr>
      <w:r>
        <w:rPr>
          <w:rFonts w:eastAsia="Verdana" w:ascii="Verdana" w:hAnsi="Verdana"/>
          <w:b/>
          <w:bCs/>
          <w:color w:val="000000"/>
          <w:sz w:val="20"/>
          <w:szCs w:val="20"/>
        </w:rPr>
        <w:t>12.1</w:t>
      </w:r>
      <w:r>
        <w:rPr>
          <w:rFonts w:eastAsia="Verdana" w:ascii="Verdana" w:hAnsi="Verdana"/>
          <w:color w:val="000000"/>
          <w:sz w:val="20"/>
          <w:szCs w:val="20"/>
        </w:rPr>
        <w:t xml:space="preserve"> Cumprir todas as obrigações, assumindo como exclusivamente seus os riscos e as despesas decorrentes da boa e perfeita execução do objeto;</w:t>
      </w:r>
    </w:p>
    <w:p>
      <w:pPr>
        <w:pStyle w:val="Normal"/>
        <w:widowControl w:val="false"/>
        <w:spacing w:lineRule="auto" w:line="276" w:before="57" w:after="57"/>
        <w:jc w:val="both"/>
        <w:rPr>
          <w:rFonts w:ascii="Verdana" w:hAnsi="Verdana"/>
          <w:sz w:val="20"/>
          <w:szCs w:val="20"/>
        </w:rPr>
      </w:pPr>
      <w:r>
        <w:rPr>
          <w:rFonts w:eastAsia="Verdana" w:ascii="Verdana" w:hAnsi="Verdana"/>
          <w:b/>
          <w:bCs/>
          <w:color w:val="000000"/>
          <w:sz w:val="20"/>
          <w:szCs w:val="20"/>
        </w:rPr>
        <w:t>12.2</w:t>
      </w:r>
      <w:r>
        <w:rPr>
          <w:rFonts w:eastAsia="Verdana" w:ascii="Verdana" w:hAnsi="Verdana"/>
          <w:color w:val="000000"/>
          <w:sz w:val="20"/>
          <w:szCs w:val="20"/>
        </w:rPr>
        <w:t xml:space="preserve"> Responsabilizar-se pelos vícios e danos decorrentes do objeto, de acordo com o Código de Defesa do Consumidor (Lei nº 8.078, de 1990);</w:t>
      </w:r>
    </w:p>
    <w:p>
      <w:pPr>
        <w:pStyle w:val="Normal"/>
        <w:widowControl w:val="false"/>
        <w:spacing w:lineRule="auto" w:line="276" w:before="57" w:after="57"/>
        <w:jc w:val="both"/>
        <w:rPr>
          <w:rFonts w:ascii="Verdana" w:hAnsi="Verdana"/>
          <w:sz w:val="20"/>
          <w:szCs w:val="20"/>
        </w:rPr>
      </w:pPr>
      <w:r>
        <w:rPr>
          <w:rFonts w:eastAsia="Verdana" w:ascii="Verdana" w:hAnsi="Verdana"/>
          <w:b/>
          <w:bCs/>
          <w:color w:val="000000"/>
          <w:sz w:val="20"/>
          <w:szCs w:val="20"/>
        </w:rPr>
        <w:t>12.3</w:t>
      </w:r>
      <w:r>
        <w:rPr>
          <w:rFonts w:eastAsia="Verdana" w:ascii="Verdana" w:hAnsi="Verdana"/>
          <w:color w:val="000000"/>
          <w:sz w:val="20"/>
          <w:szCs w:val="20"/>
        </w:rPr>
        <w:t xml:space="preserve"> Comunicar ao CONTRATANTE, no prazo máximo de 24 (vinte e quatro) horas que antecede a data da entrega, os motivos que impossibilitem o cumprimento do prazo previsto, com a devida comprovação;</w:t>
      </w:r>
    </w:p>
    <w:p>
      <w:pPr>
        <w:pStyle w:val="Normal"/>
        <w:widowControl w:val="false"/>
        <w:spacing w:lineRule="auto" w:line="276" w:before="57" w:after="57"/>
        <w:jc w:val="both"/>
        <w:rPr>
          <w:rFonts w:ascii="Verdana" w:hAnsi="Verdana"/>
          <w:sz w:val="20"/>
          <w:szCs w:val="20"/>
        </w:rPr>
      </w:pPr>
      <w:r>
        <w:rPr>
          <w:rFonts w:eastAsia="Verdana" w:ascii="Verdana" w:hAnsi="Verdana"/>
          <w:b/>
          <w:bCs/>
          <w:color w:val="000000"/>
          <w:sz w:val="20"/>
          <w:szCs w:val="20"/>
        </w:rPr>
        <w:t>12.4</w:t>
      </w:r>
      <w:r>
        <w:rPr>
          <w:rFonts w:eastAsia="Verdana" w:ascii="Verdana" w:hAnsi="Verdana"/>
          <w:color w:val="000000"/>
          <w:sz w:val="20"/>
          <w:szCs w:val="20"/>
        </w:rPr>
        <w:t xml:space="preserve"> Atender às determinações regulares emitidas pelo fiscal ou gestor do contrato ou autoridade superior, e prestar todo esclarecimento ou informação por eles solicitados;</w:t>
      </w:r>
    </w:p>
    <w:p>
      <w:pPr>
        <w:pStyle w:val="Normal"/>
        <w:widowControl w:val="false"/>
        <w:spacing w:lineRule="auto" w:line="276" w:before="57" w:after="57"/>
        <w:jc w:val="both"/>
        <w:rPr>
          <w:rFonts w:ascii="Verdana" w:hAnsi="Verdana"/>
          <w:sz w:val="20"/>
          <w:szCs w:val="20"/>
        </w:rPr>
      </w:pPr>
      <w:r>
        <w:rPr>
          <w:rFonts w:eastAsia="Verdana" w:ascii="Verdana" w:hAnsi="Verdana"/>
          <w:b/>
          <w:bCs/>
          <w:color w:val="000000"/>
          <w:sz w:val="20"/>
          <w:szCs w:val="20"/>
        </w:rPr>
        <w:t>12.5</w:t>
      </w:r>
      <w:r>
        <w:rPr>
          <w:rFonts w:eastAsia="Verdana" w:ascii="Verdana" w:hAnsi="Verdana"/>
          <w:color w:val="000000"/>
          <w:sz w:val="20"/>
          <w:szCs w:val="20"/>
        </w:rPr>
        <w:t xml:space="preserve"> Responder por quaisquer compromissos assumidos com terceiros, ainda que vinculados à execução da contratação;</w:t>
      </w:r>
    </w:p>
    <w:p>
      <w:pPr>
        <w:pStyle w:val="Normal"/>
        <w:widowControl w:val="false"/>
        <w:spacing w:lineRule="auto" w:line="276" w:before="57" w:after="57"/>
        <w:jc w:val="both"/>
        <w:rPr>
          <w:rFonts w:ascii="Verdana" w:hAnsi="Verdana"/>
          <w:sz w:val="20"/>
          <w:szCs w:val="20"/>
        </w:rPr>
      </w:pPr>
      <w:r>
        <w:rPr>
          <w:rFonts w:eastAsia="Verdana" w:ascii="Verdana" w:hAnsi="Verdana"/>
          <w:b/>
          <w:bCs/>
          <w:color w:val="000000"/>
          <w:sz w:val="20"/>
          <w:szCs w:val="20"/>
        </w:rPr>
        <w:t>12.6</w:t>
      </w:r>
      <w:r>
        <w:rPr>
          <w:rFonts w:eastAsia="Verdana" w:ascii="Verdana" w:hAnsi="Verdana"/>
          <w:color w:val="000000"/>
          <w:sz w:val="20"/>
          <w:szCs w:val="20"/>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ormal"/>
        <w:widowControl w:val="false"/>
        <w:spacing w:lineRule="auto" w:line="276" w:before="57" w:after="57"/>
        <w:jc w:val="both"/>
        <w:rPr>
          <w:rFonts w:ascii="Verdana" w:hAnsi="Verdana"/>
          <w:sz w:val="20"/>
          <w:szCs w:val="20"/>
        </w:rPr>
      </w:pPr>
      <w:r>
        <w:rPr>
          <w:rFonts w:eastAsia="Verdana" w:ascii="Verdana" w:hAnsi="Verdana"/>
          <w:b/>
          <w:bCs/>
          <w:color w:val="000000"/>
          <w:sz w:val="20"/>
          <w:szCs w:val="20"/>
        </w:rPr>
        <w:t>12.7</w:t>
      </w:r>
      <w:r>
        <w:rPr>
          <w:rFonts w:eastAsia="Verdana" w:ascii="Verdana" w:hAnsi="Verdana"/>
          <w:color w:val="000000"/>
          <w:sz w:val="20"/>
          <w:szCs w:val="20"/>
        </w:rPr>
        <w:t xml:space="preserve"> Encaminhar, junto com a Nota Fiscal para fins de pagamento, os documentos que comprovem a sua regularidade fiscal e o relatório de adimplemento de encargos;</w:t>
      </w:r>
    </w:p>
    <w:p>
      <w:pPr>
        <w:pStyle w:val="Normal"/>
        <w:widowControl w:val="false"/>
        <w:spacing w:lineRule="auto" w:line="276" w:before="57" w:after="57"/>
        <w:jc w:val="both"/>
        <w:rPr>
          <w:rFonts w:ascii="Verdana" w:hAnsi="Verdana"/>
          <w:sz w:val="20"/>
          <w:szCs w:val="20"/>
        </w:rPr>
      </w:pPr>
      <w:r>
        <w:rPr>
          <w:rFonts w:eastAsia="Verdana" w:ascii="Verdana" w:hAnsi="Verdana"/>
          <w:b/>
          <w:bCs/>
          <w:color w:val="000000"/>
          <w:sz w:val="20"/>
          <w:szCs w:val="20"/>
        </w:rPr>
        <w:t>12.8</w:t>
      </w:r>
      <w:r>
        <w:rPr>
          <w:rFonts w:eastAsia="Verdana" w:ascii="Verdana" w:hAnsi="Verdana"/>
          <w:color w:val="000000"/>
          <w:sz w:val="20"/>
          <w:szCs w:val="20"/>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ormal"/>
        <w:widowControl w:val="false"/>
        <w:spacing w:lineRule="auto" w:line="276" w:before="57" w:after="57"/>
        <w:jc w:val="both"/>
        <w:rPr>
          <w:rFonts w:ascii="Verdana" w:hAnsi="Verdana"/>
          <w:sz w:val="20"/>
          <w:szCs w:val="20"/>
        </w:rPr>
      </w:pPr>
      <w:r>
        <w:rPr>
          <w:rFonts w:eastAsia="Verdana" w:ascii="Verdana" w:hAnsi="Verdana"/>
          <w:b/>
          <w:bCs/>
          <w:color w:val="000000"/>
          <w:sz w:val="20"/>
          <w:szCs w:val="20"/>
        </w:rPr>
        <w:t>12.9</w:t>
      </w:r>
      <w:r>
        <w:rPr>
          <w:rFonts w:eastAsia="Verdana" w:ascii="Verdana" w:hAnsi="Verdana"/>
          <w:color w:val="000000"/>
          <w:sz w:val="20"/>
          <w:szCs w:val="20"/>
        </w:rPr>
        <w:t xml:space="preserve"> Disponibilizar para o CONTRATANTE um atendimento personalizado e imediato, com fornecimento de números de telefone, e-mail e demais formas de comunicação para abertura de chamados e envio de notificações, comunicando-o em até 24 (vinte e quatro) </w:t>
      </w:r>
      <w:r>
        <w:rPr>
          <w:rFonts w:ascii="Verdana" w:hAnsi="Verdana"/>
          <w:sz w:val="20"/>
          <w:szCs w:val="20"/>
        </w:rPr>
        <w:t>horas caso haja qualquer alteração;</w:t>
      </w:r>
    </w:p>
    <w:p>
      <w:pPr>
        <w:pStyle w:val="Normal"/>
        <w:widowControl w:val="false"/>
        <w:spacing w:lineRule="auto" w:line="276" w:before="57" w:after="57"/>
        <w:jc w:val="both"/>
        <w:rPr>
          <w:rFonts w:ascii="Verdana" w:hAnsi="Verdana"/>
          <w:sz w:val="20"/>
          <w:szCs w:val="20"/>
        </w:rPr>
      </w:pPr>
      <w:r>
        <w:rPr>
          <w:rFonts w:ascii="Verdana" w:hAnsi="Verdana"/>
          <w:b/>
          <w:bCs/>
          <w:sz w:val="20"/>
          <w:szCs w:val="20"/>
        </w:rPr>
        <w:t>12.10</w:t>
      </w:r>
      <w:r>
        <w:rPr>
          <w:rFonts w:ascii="Verdana" w:hAnsi="Verdana"/>
          <w:sz w:val="20"/>
          <w:szCs w:val="20"/>
        </w:rPr>
        <w:t xml:space="preserve"> Comunicar à fiscalização do contrato, no prazo máximo de 24 (vinte e quatro) horas, qualquer ocorrência anormal ou acidente que se verifique no local da execução do objeto contratual;</w:t>
      </w:r>
    </w:p>
    <w:p>
      <w:pPr>
        <w:pStyle w:val="Normal"/>
        <w:widowControl w:val="false"/>
        <w:spacing w:lineRule="auto" w:line="276" w:before="57" w:after="57"/>
        <w:jc w:val="both"/>
        <w:rPr>
          <w:rFonts w:ascii="Verdana" w:hAnsi="Verdana"/>
          <w:sz w:val="20"/>
          <w:szCs w:val="20"/>
        </w:rPr>
      </w:pPr>
      <w:r>
        <w:rPr>
          <w:rFonts w:ascii="Verdana" w:hAnsi="Verdana"/>
          <w:b/>
          <w:bCs/>
          <w:sz w:val="20"/>
          <w:szCs w:val="20"/>
        </w:rPr>
        <w:t>12.11</w:t>
      </w:r>
      <w:r>
        <w:rPr>
          <w:rFonts w:ascii="Verdana" w:hAnsi="Verdana"/>
          <w:sz w:val="20"/>
          <w:szCs w:val="20"/>
        </w:rPr>
        <w:t xml:space="preserve"> Paralisar, por determinação do CONTRATANTE, qualquer atividade que não esteja sendo executada de acordo com a boa técnica ou que ponha em risco a segurança de pessoas ou bens de terceiros; </w:t>
      </w:r>
    </w:p>
    <w:p>
      <w:pPr>
        <w:pStyle w:val="Normal"/>
        <w:widowControl w:val="false"/>
        <w:spacing w:lineRule="auto" w:line="276" w:before="57" w:after="57"/>
        <w:jc w:val="both"/>
        <w:rPr>
          <w:rFonts w:ascii="Verdana" w:hAnsi="Verdana"/>
          <w:sz w:val="20"/>
          <w:szCs w:val="20"/>
        </w:rPr>
      </w:pPr>
      <w:r>
        <w:rPr>
          <w:rFonts w:ascii="Verdana" w:hAnsi="Verdana"/>
          <w:b/>
          <w:bCs/>
          <w:sz w:val="20"/>
          <w:szCs w:val="20"/>
        </w:rPr>
        <w:t>12.12</w:t>
      </w:r>
      <w:r>
        <w:rPr>
          <w:rFonts w:ascii="Verdana" w:hAnsi="Verdana"/>
          <w:sz w:val="20"/>
          <w:szCs w:val="20"/>
        </w:rPr>
        <w:t xml:space="preserve"> Manter, durante toda a vigência da contratação, em compatibilidade com as obrigações assumidas, todas as condições exigidas para habilitação na licitação;</w:t>
      </w:r>
    </w:p>
    <w:p>
      <w:pPr>
        <w:pStyle w:val="Normal"/>
        <w:widowControl w:val="false"/>
        <w:spacing w:lineRule="auto" w:line="276" w:before="57" w:after="57"/>
        <w:jc w:val="both"/>
        <w:rPr>
          <w:rFonts w:ascii="Verdana" w:hAnsi="Verdana"/>
          <w:sz w:val="20"/>
          <w:szCs w:val="20"/>
        </w:rPr>
      </w:pPr>
      <w:r>
        <w:rPr>
          <w:rFonts w:ascii="Verdana" w:hAnsi="Verdana"/>
          <w:b/>
          <w:bCs/>
          <w:sz w:val="20"/>
          <w:szCs w:val="20"/>
        </w:rPr>
        <w:t>12.13</w:t>
      </w:r>
      <w:r>
        <w:rPr>
          <w:rFonts w:ascii="Verdana" w:hAnsi="Verdana"/>
          <w:sz w:val="20"/>
          <w:szCs w:val="20"/>
        </w:rPr>
        <w:t xml:space="preserve"> Guardar sigilo sobre todas as informações obtidas em decorrência do cumprimento da contratação;</w:t>
      </w:r>
    </w:p>
    <w:p>
      <w:pPr>
        <w:pStyle w:val="Normal"/>
        <w:widowControl w:val="false"/>
        <w:spacing w:lineRule="auto" w:line="276" w:before="57" w:after="57"/>
        <w:jc w:val="both"/>
        <w:rPr>
          <w:rFonts w:ascii="Verdana" w:hAnsi="Verdana"/>
          <w:sz w:val="20"/>
          <w:szCs w:val="20"/>
        </w:rPr>
      </w:pPr>
      <w:r>
        <w:rPr>
          <w:rFonts w:ascii="Verdana" w:hAnsi="Verdana"/>
          <w:b/>
          <w:bCs/>
          <w:sz w:val="20"/>
          <w:szCs w:val="20"/>
        </w:rPr>
        <w:t>12.14</w:t>
      </w:r>
      <w:r>
        <w:rPr>
          <w:rFonts w:ascii="Verdana" w:hAnsi="Verdana"/>
          <w:sz w:val="20"/>
          <w:szCs w:val="20"/>
        </w:rPr>
        <w:t xml:space="preserve"> Orientar e treinar seus empregados sobre os deveres previstos na Lei nº 13.709, de 14 de agosto de 2018, adotando medidas eficazes para proteção de dados pessoais a que tenha acesso por força da execução deste contrato;</w:t>
      </w:r>
    </w:p>
    <w:p>
      <w:pPr>
        <w:pStyle w:val="Normal"/>
        <w:widowControl w:val="false"/>
        <w:spacing w:lineRule="auto" w:line="276" w:before="57" w:after="57"/>
        <w:jc w:val="both"/>
        <w:rPr>
          <w:rFonts w:ascii="Verdana" w:hAnsi="Verdana"/>
          <w:sz w:val="20"/>
          <w:szCs w:val="20"/>
        </w:rPr>
      </w:pPr>
      <w:r>
        <w:rPr>
          <w:rFonts w:ascii="Verdana" w:hAnsi="Verdana"/>
          <w:b/>
          <w:bCs/>
          <w:sz w:val="20"/>
          <w:szCs w:val="20"/>
        </w:rPr>
        <w:t>12.15</w:t>
      </w:r>
      <w:r>
        <w:rPr>
          <w:rFonts w:ascii="Verdana" w:hAnsi="Verdana"/>
          <w:sz w:val="20"/>
          <w:szCs w:val="20"/>
        </w:rPr>
        <w:t xml:space="preserve"> Cumprir, além dos postulados legais vigentes de âmbito federal, estadual ou municipal, as normas de segurança do CONTRATANTE;</w:t>
      </w:r>
    </w:p>
    <w:p>
      <w:pPr>
        <w:pStyle w:val="Normal"/>
        <w:widowControl w:val="false"/>
        <w:spacing w:lineRule="auto" w:line="276" w:before="57" w:after="57"/>
        <w:jc w:val="both"/>
        <w:rPr>
          <w:rFonts w:ascii="Verdana" w:hAnsi="Verdana"/>
          <w:sz w:val="20"/>
          <w:szCs w:val="20"/>
        </w:rPr>
      </w:pPr>
      <w:r>
        <w:rPr>
          <w:rFonts w:ascii="Verdana" w:hAnsi="Verdana"/>
          <w:b/>
          <w:bCs/>
          <w:sz w:val="20"/>
          <w:szCs w:val="20"/>
        </w:rPr>
        <w:t>12.16</w:t>
      </w:r>
      <w:r>
        <w:rPr>
          <w:rFonts w:ascii="Verdana" w:hAnsi="Verdana"/>
          <w:sz w:val="20"/>
          <w:szCs w:val="2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ormal"/>
        <w:widowControl w:val="false"/>
        <w:spacing w:lineRule="auto" w:line="276" w:before="57" w:after="57"/>
        <w:jc w:val="both"/>
        <w:rPr>
          <w:rFonts w:ascii="Verdana" w:hAnsi="Verdana"/>
          <w:sz w:val="20"/>
          <w:szCs w:val="20"/>
        </w:rPr>
      </w:pPr>
      <w:r>
        <w:rPr>
          <w:rFonts w:ascii="Verdana" w:hAnsi="Verdana"/>
          <w:b/>
          <w:bCs/>
          <w:sz w:val="20"/>
          <w:szCs w:val="20"/>
        </w:rPr>
        <w:t>12.17</w:t>
      </w:r>
      <w:r>
        <w:rPr>
          <w:rFonts w:ascii="Verdana" w:hAnsi="Verdana"/>
          <w:sz w:val="20"/>
          <w:szCs w:val="20"/>
        </w:rPr>
        <w:t xml:space="preserve"> Conduzir os trabalhos com estrita observância às normas da legislação pertinente, cumprindo as determinações dos Poderes Públicos, mantendo sempre limpo o local de execução do objeto e nas melhores condições de segurança, higiene e disciplina;</w:t>
      </w:r>
    </w:p>
    <w:p>
      <w:pPr>
        <w:pStyle w:val="Normal"/>
        <w:widowControl w:val="false"/>
        <w:spacing w:lineRule="auto" w:line="276" w:before="57" w:after="57"/>
        <w:jc w:val="both"/>
        <w:rPr>
          <w:rFonts w:ascii="Verdana" w:hAnsi="Verdana"/>
          <w:sz w:val="20"/>
          <w:szCs w:val="20"/>
        </w:rPr>
      </w:pPr>
      <w:r>
        <w:rPr>
          <w:rFonts w:ascii="Verdana" w:hAnsi="Verdana"/>
          <w:b/>
          <w:bCs/>
          <w:sz w:val="20"/>
          <w:szCs w:val="20"/>
        </w:rPr>
        <w:t>12.18</w:t>
      </w:r>
      <w:r>
        <w:rPr>
          <w:rFonts w:ascii="Verdana" w:hAnsi="Verdana"/>
          <w:sz w:val="20"/>
          <w:szCs w:val="20"/>
        </w:rPr>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pPr>
        <w:pStyle w:val="Normal"/>
        <w:widowControl w:val="false"/>
        <w:spacing w:lineRule="auto" w:line="276" w:before="57" w:after="57"/>
        <w:jc w:val="both"/>
        <w:rPr>
          <w:rFonts w:ascii="Verdana" w:hAnsi="Verdana"/>
          <w:sz w:val="20"/>
          <w:szCs w:val="20"/>
        </w:rPr>
      </w:pPr>
      <w:r>
        <w:rPr>
          <w:rFonts w:ascii="Verdana" w:hAnsi="Verdana"/>
          <w:b/>
          <w:bCs/>
          <w:sz w:val="20"/>
          <w:szCs w:val="20"/>
        </w:rPr>
        <w:t>12.19</w:t>
      </w:r>
      <w:r>
        <w:rPr>
          <w:rFonts w:ascii="Verdana" w:hAnsi="Verdana"/>
          <w:sz w:val="20"/>
          <w:szCs w:val="20"/>
        </w:rPr>
        <w:t xml:space="preserve"> A CONTRATADA deverá </w:t>
      </w:r>
      <w:r>
        <w:rPr>
          <w:rFonts w:cs="TimesNewRomanPSMT" w:ascii="Verdana" w:hAnsi="Verdana"/>
          <w:color w:val="000000"/>
          <w:sz w:val="20"/>
          <w:szCs w:val="20"/>
        </w:rPr>
        <w:t>dispor de suporte técnico ao menos em horário comercial, via conexão remota e canais de comunicação, para solução de possíveis problemas, treinamentos e orientações para uso e configurações das ferramentas disponíveis;</w:t>
      </w:r>
    </w:p>
    <w:p>
      <w:pPr>
        <w:pStyle w:val="Normal"/>
        <w:widowControl w:val="false"/>
        <w:spacing w:lineRule="auto" w:line="276" w:before="57" w:after="57"/>
        <w:jc w:val="both"/>
        <w:rPr>
          <w:rFonts w:ascii="Verdana" w:hAnsi="Verdana"/>
          <w:sz w:val="20"/>
          <w:szCs w:val="20"/>
        </w:rPr>
      </w:pPr>
      <w:r>
        <w:rPr>
          <w:rFonts w:cs="TimesNewRomanPSMT" w:ascii="Verdana" w:hAnsi="Verdana"/>
          <w:b/>
          <w:bCs/>
          <w:color w:val="000000"/>
          <w:sz w:val="20"/>
          <w:szCs w:val="20"/>
        </w:rPr>
        <w:t>12.20</w:t>
      </w:r>
      <w:r>
        <w:rPr>
          <w:rFonts w:cs="TimesNewRomanPSMT" w:ascii="Verdana" w:hAnsi="Verdana"/>
          <w:color w:val="000000"/>
          <w:sz w:val="20"/>
          <w:szCs w:val="20"/>
        </w:rPr>
        <w:t xml:space="preserve"> </w:t>
      </w:r>
      <w:r>
        <w:rPr>
          <w:rFonts w:ascii="Verdana" w:hAnsi="Verdana"/>
          <w:color w:val="000000"/>
          <w:sz w:val="20"/>
          <w:szCs w:val="20"/>
        </w:rPr>
        <w:t>A CONTRATADA deverá fornecer s</w:t>
      </w:r>
      <w:r>
        <w:rPr>
          <w:rFonts w:cs="TimesNewRomanPSMT" w:ascii="Verdana" w:hAnsi="Verdana"/>
          <w:color w:val="000000"/>
          <w:sz w:val="20"/>
          <w:szCs w:val="20"/>
        </w:rPr>
        <w:t>uporte do fabricante durante todo o tempo de vigência da licença;</w:t>
      </w:r>
    </w:p>
    <w:p>
      <w:pPr>
        <w:pStyle w:val="Normal"/>
        <w:widowControl w:val="false"/>
        <w:spacing w:lineRule="auto" w:line="276" w:before="57" w:after="57"/>
        <w:jc w:val="both"/>
        <w:rPr>
          <w:rFonts w:ascii="Verdana" w:hAnsi="Verdana"/>
          <w:sz w:val="20"/>
          <w:szCs w:val="20"/>
        </w:rPr>
      </w:pPr>
      <w:r>
        <w:rPr>
          <w:rFonts w:cs="TimesNewRomanPSMT" w:ascii="Verdana" w:hAnsi="Verdana"/>
          <w:b/>
          <w:bCs/>
          <w:color w:val="000000"/>
          <w:sz w:val="20"/>
          <w:szCs w:val="20"/>
        </w:rPr>
        <w:t>12.21</w:t>
      </w:r>
      <w:r>
        <w:rPr>
          <w:rFonts w:cs="TimesNewRomanPSMT" w:ascii="Verdana" w:hAnsi="Verdana"/>
          <w:color w:val="000000"/>
          <w:sz w:val="20"/>
          <w:szCs w:val="20"/>
        </w:rPr>
        <w:t xml:space="preserve"> A CONTRATADA deverá garantir as atualizações e adequações necessárias compatíveis com as necessidades correntes do mercado, durante todo período de vigência da licença.</w:t>
      </w:r>
    </w:p>
    <w:p>
      <w:pPr>
        <w:pStyle w:val="Normal"/>
        <w:widowControl w:val="false"/>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b/>
          <w:bCs/>
          <w:sz w:val="20"/>
          <w:szCs w:val="20"/>
        </w:rPr>
        <w:t xml:space="preserve">CLÁUSULA </w:t>
      </w:r>
      <w:r>
        <w:rPr>
          <w:rFonts w:ascii="Verdana" w:hAnsi="Verdana"/>
          <w:b/>
          <w:bCs/>
          <w:sz w:val="20"/>
          <w:szCs w:val="20"/>
          <w:lang w:eastAsia="zh-CN"/>
        </w:rPr>
        <w:t xml:space="preserve">DÉCIMA TERCEIRA – DAS </w:t>
      </w:r>
      <w:r>
        <w:rPr>
          <w:rFonts w:eastAsia="Verdana" w:ascii="Verdana" w:hAnsi="Verdana"/>
          <w:b/>
          <w:sz w:val="20"/>
          <w:szCs w:val="20"/>
        </w:rPr>
        <w:t>OBRIGAÇÕES DA CONTRATANTE</w:t>
      </w:r>
    </w:p>
    <w:p>
      <w:pPr>
        <w:pStyle w:val="Normal"/>
        <w:spacing w:lineRule="auto" w:line="276" w:before="57" w:after="57"/>
        <w:jc w:val="both"/>
        <w:rPr>
          <w:rFonts w:ascii="Verdana" w:hAnsi="Verdana"/>
          <w:sz w:val="20"/>
          <w:szCs w:val="20"/>
        </w:rPr>
      </w:pPr>
      <w:r>
        <w:rPr>
          <w:rFonts w:eastAsia="Verdana" w:ascii="Verdana" w:hAnsi="Verdana"/>
          <w:b/>
          <w:bCs/>
          <w:color w:val="000000"/>
          <w:sz w:val="20"/>
          <w:szCs w:val="20"/>
        </w:rPr>
        <w:t>13.1</w:t>
      </w:r>
      <w:r>
        <w:rPr>
          <w:rFonts w:eastAsia="Verdana" w:ascii="Verdana" w:hAnsi="Verdana"/>
          <w:color w:val="000000"/>
          <w:sz w:val="20"/>
          <w:szCs w:val="20"/>
        </w:rPr>
        <w:t xml:space="preserve"> Cumprir e fazer cumprir todas as disposições contidas neste Termo;</w:t>
      </w:r>
    </w:p>
    <w:p>
      <w:pPr>
        <w:pStyle w:val="Normal"/>
        <w:spacing w:lineRule="auto" w:line="276" w:before="57" w:after="57"/>
        <w:jc w:val="both"/>
        <w:rPr>
          <w:rFonts w:ascii="Verdana" w:hAnsi="Verdana"/>
          <w:sz w:val="20"/>
          <w:szCs w:val="20"/>
        </w:rPr>
      </w:pPr>
      <w:r>
        <w:rPr>
          <w:rFonts w:eastAsia="Verdana" w:ascii="Verdana" w:hAnsi="Verdana"/>
          <w:b/>
          <w:bCs/>
          <w:color w:val="000000"/>
          <w:sz w:val="20"/>
          <w:szCs w:val="20"/>
        </w:rPr>
        <w:t>13.2</w:t>
      </w:r>
      <w:r>
        <w:rPr>
          <w:rFonts w:eastAsia="Verdana" w:ascii="Verdana" w:hAnsi="Verdana"/>
          <w:color w:val="000000"/>
          <w:sz w:val="20"/>
          <w:szCs w:val="20"/>
        </w:rPr>
        <w:t xml:space="preserve"> Receber o objeto no prazo e condições estabelecidas;</w:t>
      </w:r>
    </w:p>
    <w:p>
      <w:pPr>
        <w:pStyle w:val="Normal"/>
        <w:spacing w:lineRule="auto" w:line="276" w:before="57" w:after="57"/>
        <w:jc w:val="both"/>
        <w:rPr>
          <w:rFonts w:ascii="Verdana" w:hAnsi="Verdana"/>
          <w:sz w:val="20"/>
          <w:szCs w:val="20"/>
        </w:rPr>
      </w:pPr>
      <w:r>
        <w:rPr>
          <w:rFonts w:eastAsia="Verdana" w:ascii="Verdana" w:hAnsi="Verdana"/>
          <w:b/>
          <w:bCs/>
          <w:color w:val="000000"/>
          <w:sz w:val="20"/>
          <w:szCs w:val="20"/>
        </w:rPr>
        <w:t>13.3</w:t>
      </w:r>
      <w:r>
        <w:rPr>
          <w:rFonts w:eastAsia="Verdana" w:ascii="Verdana" w:hAnsi="Verdana"/>
          <w:color w:val="000000"/>
          <w:sz w:val="20"/>
          <w:szCs w:val="20"/>
        </w:rPr>
        <w:t xml:space="preserve"> Proporcionar todas as facilidades, inclusive esclarecimentos atinentes ao objeto deste Contrato, para que a empresa possa cumprir as obrigações dentro das normas e condições da aquisição;</w:t>
      </w:r>
    </w:p>
    <w:p>
      <w:pPr>
        <w:pStyle w:val="Normal"/>
        <w:spacing w:lineRule="auto" w:line="276" w:before="57" w:after="57"/>
        <w:jc w:val="both"/>
        <w:rPr>
          <w:rFonts w:ascii="Verdana" w:hAnsi="Verdana"/>
          <w:sz w:val="20"/>
          <w:szCs w:val="20"/>
        </w:rPr>
      </w:pPr>
      <w:r>
        <w:rPr>
          <w:rFonts w:eastAsia="Verdana" w:ascii="Verdana" w:hAnsi="Verdana"/>
          <w:b/>
          <w:bCs/>
          <w:sz w:val="20"/>
          <w:szCs w:val="20"/>
        </w:rPr>
        <w:t>13.4</w:t>
      </w:r>
      <w:r>
        <w:rPr>
          <w:rFonts w:eastAsia="Verdana" w:ascii="Verdana" w:hAnsi="Verdana"/>
          <w:sz w:val="20"/>
          <w:szCs w:val="20"/>
        </w:rPr>
        <w:t xml:space="preserve"> Notificar a CONTRATADA, por escrito, sobre vícios, defeitos ou incorreções verificadas no objeto fornecido, para que seja por ela substituído, reparado ou corrigido, no total ou em parte, às suas expensas;</w:t>
      </w:r>
    </w:p>
    <w:p>
      <w:pPr>
        <w:pStyle w:val="Normal"/>
        <w:spacing w:lineRule="auto" w:line="276" w:before="57" w:after="57"/>
        <w:jc w:val="both"/>
        <w:rPr>
          <w:rFonts w:ascii="Verdana" w:hAnsi="Verdana"/>
          <w:sz w:val="20"/>
          <w:szCs w:val="20"/>
        </w:rPr>
      </w:pPr>
      <w:r>
        <w:rPr>
          <w:rFonts w:eastAsia="Verdana" w:ascii="Verdana" w:hAnsi="Verdana"/>
          <w:b/>
          <w:bCs/>
          <w:sz w:val="20"/>
          <w:szCs w:val="20"/>
        </w:rPr>
        <w:t>13.4.1</w:t>
      </w:r>
      <w:r>
        <w:rPr>
          <w:rFonts w:eastAsia="Verdana" w:ascii="Verdana" w:hAnsi="Verdana"/>
          <w:sz w:val="20"/>
          <w:szCs w:val="20"/>
        </w:rPr>
        <w:t xml:space="preserve"> As notificações se darão por meio eletrônico (e-mail) a ser fornecido pela CONTRATADA quando da assinatura contratual ou da apresentação da proposta, ficando a cargo desta avisar em até 1 (um) dia útil, qualquer alteração deste no curso do contrato;</w:t>
      </w:r>
    </w:p>
    <w:p>
      <w:pPr>
        <w:pStyle w:val="Normal"/>
        <w:spacing w:lineRule="auto" w:line="276" w:before="57" w:after="57"/>
        <w:jc w:val="both"/>
        <w:rPr>
          <w:rFonts w:ascii="Verdana" w:hAnsi="Verdana"/>
          <w:sz w:val="20"/>
          <w:szCs w:val="20"/>
        </w:rPr>
      </w:pPr>
      <w:r>
        <w:rPr>
          <w:rFonts w:eastAsia="Verdana" w:ascii="Verdana" w:hAnsi="Verdana"/>
          <w:b/>
          <w:bCs/>
          <w:sz w:val="20"/>
          <w:szCs w:val="20"/>
        </w:rPr>
        <w:t>13.4.2</w:t>
      </w:r>
      <w:r>
        <w:rPr>
          <w:rFonts w:eastAsia="Verdana" w:ascii="Verdana" w:hAnsi="Verdana"/>
          <w:sz w:val="20"/>
          <w:szCs w:val="20"/>
        </w:rPr>
        <w:t xml:space="preserve"> Considerar-se-á lido o e-mail pela CONTRATADA após 2 (dois) dias úteis do seu envio;</w:t>
      </w:r>
    </w:p>
    <w:p>
      <w:pPr>
        <w:pStyle w:val="Normal"/>
        <w:spacing w:lineRule="auto" w:line="276" w:before="57" w:after="57"/>
        <w:jc w:val="both"/>
        <w:rPr>
          <w:rFonts w:ascii="Verdana" w:hAnsi="Verdana"/>
          <w:sz w:val="20"/>
          <w:szCs w:val="20"/>
        </w:rPr>
      </w:pPr>
      <w:r>
        <w:rPr>
          <w:rFonts w:eastAsia="Verdana" w:ascii="Verdana" w:hAnsi="Verdana"/>
          <w:b/>
          <w:bCs/>
          <w:sz w:val="20"/>
          <w:szCs w:val="20"/>
        </w:rPr>
        <w:t>13.5</w:t>
      </w:r>
      <w:r>
        <w:rPr>
          <w:rFonts w:eastAsia="Verdana" w:ascii="Verdana" w:hAnsi="Verdana"/>
          <w:sz w:val="20"/>
          <w:szCs w:val="20"/>
        </w:rPr>
        <w:t xml:space="preserve"> Acompanhar e fiscalizar a execução do contrato e o cumprimento das obrigações pela CONTRATADA;</w:t>
      </w:r>
    </w:p>
    <w:p>
      <w:pPr>
        <w:pStyle w:val="Normal"/>
        <w:spacing w:lineRule="auto" w:line="276" w:before="57" w:after="57"/>
        <w:jc w:val="both"/>
        <w:rPr>
          <w:rFonts w:ascii="Verdana" w:hAnsi="Verdana"/>
          <w:sz w:val="20"/>
          <w:szCs w:val="20"/>
        </w:rPr>
      </w:pPr>
      <w:r>
        <w:rPr>
          <w:rFonts w:eastAsia="Verdana" w:ascii="Verdana" w:hAnsi="Verdana"/>
          <w:b/>
          <w:bCs/>
          <w:sz w:val="20"/>
          <w:szCs w:val="20"/>
        </w:rPr>
        <w:t>13.6</w:t>
      </w:r>
      <w:r>
        <w:rPr>
          <w:rFonts w:eastAsia="Verdana" w:ascii="Verdana" w:hAnsi="Verdana"/>
          <w:sz w:val="20"/>
          <w:szCs w:val="20"/>
        </w:rPr>
        <w:t xml:space="preserve"> Anotar em registro próprio os fatos que, a seu critério, exijam medidas corretivas no fornecimento do serviço;</w:t>
      </w:r>
    </w:p>
    <w:p>
      <w:pPr>
        <w:pStyle w:val="Normal"/>
        <w:spacing w:lineRule="auto" w:line="276" w:before="57" w:after="57"/>
        <w:jc w:val="both"/>
        <w:rPr>
          <w:rFonts w:ascii="Verdana" w:hAnsi="Verdana"/>
          <w:sz w:val="20"/>
          <w:szCs w:val="20"/>
        </w:rPr>
      </w:pPr>
      <w:r>
        <w:rPr>
          <w:rFonts w:eastAsia="Verdana" w:ascii="Verdana" w:hAnsi="Verdana"/>
          <w:b/>
          <w:bCs/>
          <w:sz w:val="20"/>
          <w:szCs w:val="20"/>
        </w:rPr>
        <w:t>13.7</w:t>
      </w:r>
      <w:r>
        <w:rPr>
          <w:rFonts w:eastAsia="Verdana" w:ascii="Verdana" w:hAnsi="Verdana"/>
          <w:sz w:val="20"/>
          <w:szCs w:val="20"/>
        </w:rPr>
        <w:t xml:space="preserve"> 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pPr>
        <w:pStyle w:val="Normal"/>
        <w:spacing w:lineRule="auto" w:line="276" w:before="57" w:after="57"/>
        <w:jc w:val="both"/>
        <w:rPr>
          <w:rFonts w:ascii="Verdana" w:hAnsi="Verdana"/>
          <w:sz w:val="20"/>
          <w:szCs w:val="20"/>
        </w:rPr>
      </w:pPr>
      <w:r>
        <w:rPr>
          <w:rFonts w:eastAsia="Verdana" w:ascii="Verdana" w:hAnsi="Verdana"/>
          <w:b/>
          <w:bCs/>
          <w:sz w:val="20"/>
          <w:szCs w:val="20"/>
        </w:rPr>
        <w:t>13.8</w:t>
      </w:r>
      <w:r>
        <w:rPr>
          <w:rFonts w:eastAsia="Verdana" w:ascii="Verdana" w:hAnsi="Verdana"/>
          <w:sz w:val="20"/>
          <w:szCs w:val="20"/>
        </w:rPr>
        <w:t xml:space="preserve"> Alocar os recursos orçamentários e financeiros necessários à execução da contratação;</w:t>
      </w:r>
    </w:p>
    <w:p>
      <w:pPr>
        <w:pStyle w:val="Normal"/>
        <w:spacing w:lineRule="auto" w:line="276" w:before="57" w:after="57"/>
        <w:jc w:val="both"/>
        <w:rPr>
          <w:rFonts w:ascii="Verdana" w:hAnsi="Verdana"/>
          <w:sz w:val="20"/>
          <w:szCs w:val="20"/>
        </w:rPr>
      </w:pPr>
      <w:r>
        <w:rPr>
          <w:rFonts w:eastAsia="Verdana" w:ascii="Verdana" w:hAnsi="Verdana"/>
          <w:b/>
          <w:bCs/>
          <w:sz w:val="20"/>
          <w:szCs w:val="20"/>
        </w:rPr>
        <w:t>13.9</w:t>
      </w:r>
      <w:r>
        <w:rPr>
          <w:rFonts w:eastAsia="Verdana" w:ascii="Verdana" w:hAnsi="Verdana"/>
          <w:sz w:val="20"/>
          <w:szCs w:val="20"/>
        </w:rPr>
        <w:t xml:space="preserve"> Efetuar o pagamento à CONTRATADA do valor correspondente ao fornecimento do serviço, no prazo, forma e condições estabelecidos neste Contrato;</w:t>
      </w:r>
    </w:p>
    <w:p>
      <w:pPr>
        <w:pStyle w:val="Normal"/>
        <w:spacing w:lineRule="auto" w:line="276" w:before="57" w:after="57"/>
        <w:jc w:val="both"/>
        <w:rPr>
          <w:rFonts w:ascii="Verdana" w:hAnsi="Verdana"/>
          <w:sz w:val="20"/>
          <w:szCs w:val="20"/>
        </w:rPr>
      </w:pPr>
      <w:r>
        <w:rPr>
          <w:rFonts w:eastAsia="Verdana" w:ascii="Verdana" w:hAnsi="Verdana"/>
          <w:b/>
          <w:bCs/>
          <w:color w:val="000000"/>
          <w:sz w:val="20"/>
          <w:szCs w:val="20"/>
        </w:rPr>
        <w:t>13.10</w:t>
      </w:r>
      <w:r>
        <w:rPr>
          <w:rFonts w:eastAsia="Verdana" w:ascii="Verdana" w:hAnsi="Verdana"/>
          <w:color w:val="000000"/>
          <w:sz w:val="20"/>
          <w:szCs w:val="20"/>
        </w:rPr>
        <w:t xml:space="preserve"> Aplicar à CONTRATADA as sanções previstas na lei;</w:t>
      </w:r>
    </w:p>
    <w:p>
      <w:pPr>
        <w:pStyle w:val="Normal"/>
        <w:spacing w:lineRule="auto" w:line="276" w:before="57" w:after="57"/>
        <w:jc w:val="both"/>
        <w:rPr>
          <w:rFonts w:ascii="Verdana" w:hAnsi="Verdana"/>
          <w:sz w:val="20"/>
          <w:szCs w:val="20"/>
        </w:rPr>
      </w:pPr>
      <w:r>
        <w:rPr>
          <w:rFonts w:eastAsia="Verdana" w:ascii="Verdana" w:hAnsi="Verdana"/>
          <w:b/>
          <w:bCs/>
          <w:color w:val="000000"/>
          <w:sz w:val="20"/>
          <w:szCs w:val="20"/>
        </w:rPr>
        <w:t>13.11</w:t>
      </w:r>
      <w:r>
        <w:rPr>
          <w:rFonts w:eastAsia="Verdana" w:ascii="Verdana" w:hAnsi="Verdana"/>
          <w:color w:val="000000"/>
          <w:sz w:val="20"/>
          <w:szCs w:val="20"/>
        </w:rPr>
        <w:t xml:space="preserve"> Adotar as medidas cabíveis quando do descumprimento de obrigações pela CONTRATADA;</w:t>
      </w:r>
    </w:p>
    <w:p>
      <w:pPr>
        <w:pStyle w:val="PargrafodaLista1"/>
        <w:tabs>
          <w:tab w:val="clear" w:pos="708"/>
          <w:tab w:val="left" w:pos="689" w:leader="none"/>
        </w:tabs>
        <w:spacing w:lineRule="auto" w:line="276" w:before="57" w:after="57"/>
        <w:ind w:right="227"/>
        <w:jc w:val="both"/>
        <w:rPr>
          <w:rFonts w:ascii="Verdana" w:hAnsi="Verdana" w:cs="Times New Roman"/>
          <w:color w:val="FFC000"/>
          <w:sz w:val="20"/>
          <w:szCs w:val="20"/>
          <w:lang w:val="pt-BR"/>
        </w:rPr>
      </w:pPr>
      <w:r>
        <w:rPr>
          <w:rFonts w:cs="Times New Roman" w:ascii="Verdana" w:hAnsi="Verdana"/>
          <w:color w:val="FFC000"/>
          <w:sz w:val="20"/>
          <w:szCs w:val="20"/>
          <w:lang w:val="pt-BR"/>
        </w:rPr>
      </w:r>
    </w:p>
    <w:p>
      <w:pPr>
        <w:pStyle w:val="PargrafodaLista1"/>
        <w:tabs>
          <w:tab w:val="clear" w:pos="708"/>
          <w:tab w:val="left" w:pos="689"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 xml:space="preserve">CLÁUSULA DÉCIMA QUARTA - DA FISCALIZAÇÃO </w:t>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14.1</w:t>
      </w:r>
      <w:r>
        <w:rPr>
          <w:rFonts w:cs="Times New Roman" w:ascii="Verdana" w:hAnsi="Verdana"/>
          <w:sz w:val="20"/>
          <w:szCs w:val="20"/>
          <w:lang w:val="pt-BR"/>
        </w:rPr>
        <w:t xml:space="preserve"> A execução do contrato deverá ser acompanhada e fiscalizada pelo(s) fiscal(is) do contrato, ou pelos respectivos substitutos (Lei nº 14.133, de 2021, art. 117, caput).</w:t>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14.2</w:t>
      </w:r>
      <w:r>
        <w:rPr>
          <w:rFonts w:cs="Times New Roman" w:ascii="Verdana" w:hAnsi="Verdana"/>
          <w:sz w:val="20"/>
          <w:szCs w:val="20"/>
          <w:lang w:val="pt-BR"/>
        </w:rPr>
        <w:t xml:space="preserve"> O fiscal do contrato acompanhará a execução do contrato, para que sejam cumpridas todas as condições estabelecidas no contrato, de modo a assegurar os melhores resultados para a Administração. (Decreto nº 11.246, de 2022, art. 22, VI);</w:t>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14.3</w:t>
      </w:r>
      <w:r>
        <w:rPr>
          <w:rFonts w:cs="Times New Roman" w:ascii="Verdana" w:hAnsi="Verdana"/>
          <w:sz w:val="20"/>
          <w:szCs w:val="20"/>
          <w:lang w:val="pt-BR"/>
        </w:rPr>
        <w:t xml:space="preserve"> O fiscal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14.4</w:t>
      </w:r>
      <w:r>
        <w:rPr>
          <w:rFonts w:cs="Times New Roman" w:ascii="Verdana" w:hAnsi="Verdana"/>
          <w:sz w:val="20"/>
          <w:szCs w:val="20"/>
          <w:lang w:val="pt-BR"/>
        </w:rPr>
        <w:t xml:space="preserve"> Identificada qualquer inexatidão ou irregularidade, o fiscal do contrato emitirá notificações para a correção da execução do contrato, determinando prazo para a correção. (Decreto nº 11.246, de 2022, art. 22, III); </w:t>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14.5</w:t>
      </w:r>
      <w:r>
        <w:rPr>
          <w:rFonts w:cs="Times New Roman" w:ascii="Verdana" w:hAnsi="Verdana"/>
          <w:sz w:val="20"/>
          <w:szCs w:val="20"/>
          <w:lang w:val="pt-BR"/>
        </w:rPr>
        <w:t xml:space="preserve"> O fiscal do contrato informará ao gestor do contato, em tempo hábil, a situação que demandar decisão ou adoção de medidas que ultrapassem sua competência, para que adote as medidas necessárias e saneadoras, se for o caso. (Decreto nº 11.246, de 2022, art. 22, IV).</w:t>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14.6</w:t>
      </w:r>
      <w:r>
        <w:rPr>
          <w:rFonts w:cs="Times New Roman" w:ascii="Verdana" w:hAnsi="Verdana"/>
          <w:sz w:val="20"/>
          <w:szCs w:val="20"/>
          <w:lang w:val="pt-BR"/>
        </w:rPr>
        <w:t xml:space="preserve"> No caso de ocorrências que possam inviabilizar a execução do contrato nas datas aprazadas, o fiscal do contrato comunicará o fato imediatamente ao gestor do contrato. (Decreto nº 11.246, de 2022, art. 22, V).</w:t>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14.7</w:t>
      </w:r>
      <w:r>
        <w:rPr>
          <w:rFonts w:cs="Times New Roman" w:ascii="Verdana" w:hAnsi="Verdana"/>
          <w:sz w:val="20"/>
          <w:szCs w:val="20"/>
          <w:lang w:val="pt-BR"/>
        </w:rPr>
        <w:t xml:space="preserve"> O fiscal do contrato comunicará ao gestor do contrato, em tempo hábil, o término do contrato sob sua responsabilidade, com vistas à renovação tempestiva ou à prorrogação contratual (Decreto nº 11.246, de 2022, art. 22, VII).</w:t>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14.8</w:t>
      </w:r>
      <w:r>
        <w:rPr>
          <w:rFonts w:cs="Times New Roman" w:ascii="Verdana" w:hAnsi="Verdana"/>
          <w:sz w:val="20"/>
          <w:szCs w:val="20"/>
          <w:lang w:val="pt-BR"/>
        </w:rPr>
        <w:t xml:space="preserve"> O fiscal 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14.9</w:t>
      </w:r>
      <w:r>
        <w:rPr>
          <w:rFonts w:cs="Times New Roman" w:ascii="Verdana" w:hAnsi="Verdana"/>
          <w:sz w:val="20"/>
          <w:szCs w:val="20"/>
          <w:lang w:val="pt-BR"/>
        </w:rPr>
        <w:t xml:space="preserve"> Caso ocorra descumprimento das obrigações contratuais, o fiscal do contrato atuará tempestivamente na solução do problema, reportando ao gestor do contrato para que tome as providências cabíveis, quando ultrapassar a sua competência; (Decreto nº 11.246, de 2022, art. 23, IV).</w:t>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14.10</w:t>
      </w:r>
      <w:r>
        <w:rPr>
          <w:rFonts w:cs="Times New Roman" w:ascii="Verdana" w:hAnsi="Verdana"/>
          <w:sz w:val="20"/>
          <w:szCs w:val="20"/>
          <w:lang w:val="pt-BR"/>
        </w:rPr>
        <w:t xml:space="preserve"> Gestor do Contrato</w:t>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14.10.1</w:t>
      </w:r>
      <w:r>
        <w:rPr>
          <w:rFonts w:cs="Times New Roman" w:ascii="Verdana" w:hAnsi="Verdana"/>
          <w:sz w:val="20"/>
          <w:szCs w:val="20"/>
          <w:lang w:val="pt-BR"/>
        </w:rPr>
        <w:t xml:space="preserve">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14.10.2</w:t>
      </w:r>
      <w:r>
        <w:rPr>
          <w:rFonts w:cs="Times New Roman" w:ascii="Verdana" w:hAnsi="Verdana"/>
          <w:sz w:val="20"/>
          <w:szCs w:val="20"/>
          <w:lang w:val="pt-BR"/>
        </w:rPr>
        <w:t xml:space="preserve">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14.10.3</w:t>
      </w:r>
      <w:r>
        <w:rPr>
          <w:rFonts w:cs="Times New Roman" w:ascii="Verdana" w:hAnsi="Verdana"/>
          <w:sz w:val="20"/>
          <w:szCs w:val="20"/>
          <w:lang w:val="pt-BR"/>
        </w:rP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14.10.4</w:t>
      </w:r>
      <w:r>
        <w:rPr>
          <w:rFonts w:cs="Times New Roman" w:ascii="Verdana" w:hAnsi="Verdana"/>
          <w:sz w:val="20"/>
          <w:szCs w:val="20"/>
          <w:lang w:val="pt-BR"/>
        </w:rPr>
        <w:t xml:space="preserve"> O gestor do contrato emitirá documento comprobatório da avaliação realizada pelos fiscais técnico e administrativo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14.10.5</w:t>
      </w:r>
      <w:r>
        <w:rPr>
          <w:rFonts w:cs="Times New Roman" w:ascii="Verdana" w:hAnsi="Verdana"/>
          <w:sz w:val="20"/>
          <w:szCs w:val="20"/>
          <w:lang w:val="pt-BR"/>
        </w:rP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14.10.6</w:t>
      </w:r>
      <w:r>
        <w:rPr>
          <w:rFonts w:cs="Times New Roman" w:ascii="Verdana" w:hAnsi="Verdana"/>
          <w:sz w:val="20"/>
          <w:szCs w:val="20"/>
          <w:lang w:val="pt-BR"/>
        </w:rPr>
        <w:t xml:space="preserve"> 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14.10.7</w:t>
      </w:r>
      <w:r>
        <w:rPr>
          <w:rFonts w:cs="Times New Roman" w:ascii="Verdana" w:hAnsi="Verdana"/>
          <w:sz w:val="20"/>
          <w:szCs w:val="20"/>
          <w:lang w:val="pt-BR"/>
        </w:rPr>
        <w:t xml:space="preserve"> O gestor do contrato deverá enviar a documentação pertinente ao setor de contratos para a formalização dos procedimentos de liquidação e pagamento, no valor dimensionado pela fiscalização e gestão nos termos do contrato.</w:t>
      </w:r>
    </w:p>
    <w:p>
      <w:pPr>
        <w:pStyle w:val="PargrafodaLista1"/>
        <w:tabs>
          <w:tab w:val="clear" w:pos="708"/>
          <w:tab w:val="left" w:pos="284" w:leader="none"/>
        </w:tabs>
        <w:spacing w:lineRule="auto" w:line="276" w:before="0" w:after="0"/>
        <w:ind w:right="227"/>
        <w:jc w:val="both"/>
        <w:rPr>
          <w:rFonts w:ascii="Verdana" w:hAnsi="Verdana" w:cs="Times New Roman"/>
          <w:b/>
          <w:bCs/>
          <w:sz w:val="20"/>
          <w:szCs w:val="20"/>
          <w:lang w:val="pt-BR"/>
        </w:rPr>
      </w:pPr>
      <w:r>
        <w:rPr>
          <w:rFonts w:cs="Times New Roman" w:ascii="Verdana" w:hAnsi="Verdana"/>
          <w:b/>
          <w:bCs/>
          <w:sz w:val="20"/>
          <w:szCs w:val="20"/>
          <w:lang w:val="pt-BR"/>
        </w:rPr>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CLÁUSULA DÉCIMA QUINTA – DA SUBCONTRATAÇÃO</w:t>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15.1</w:t>
      </w:r>
      <w:r>
        <w:rPr>
          <w:rFonts w:cs="Times New Roman" w:ascii="Verdana" w:hAnsi="Verdana"/>
          <w:sz w:val="20"/>
          <w:szCs w:val="20"/>
          <w:lang w:val="pt-BR"/>
        </w:rPr>
        <w:t xml:space="preserve"> É vedada a subcontratação total ou parcial da execução do objeto.</w:t>
      </w:r>
    </w:p>
    <w:p>
      <w:pPr>
        <w:pStyle w:val="PargrafodaLista1"/>
        <w:tabs>
          <w:tab w:val="clear" w:pos="708"/>
          <w:tab w:val="left" w:pos="284" w:leader="none"/>
        </w:tabs>
        <w:spacing w:lineRule="auto" w:line="276" w:before="57" w:after="57"/>
        <w:ind w:right="227"/>
        <w:jc w:val="both"/>
        <w:rPr>
          <w:rFonts w:ascii="Verdana" w:hAnsi="Verdana" w:cs="Times New Roman"/>
          <w:sz w:val="20"/>
          <w:szCs w:val="20"/>
          <w:lang w:val="pt-BR"/>
        </w:rPr>
      </w:pPr>
      <w:r>
        <w:rPr>
          <w:rFonts w:cs="Times New Roman" w:ascii="Verdana" w:hAnsi="Verdana"/>
          <w:sz w:val="20"/>
          <w:szCs w:val="20"/>
          <w:lang w:val="pt-BR"/>
        </w:rPr>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CLÁUSULA DÉCIMA SEXTA – DA GARANTIA DE EXECUÇÃO</w:t>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16.1</w:t>
      </w:r>
      <w:r>
        <w:rPr>
          <w:rFonts w:cs="Times New Roman" w:ascii="Verdana" w:hAnsi="Verdana"/>
          <w:sz w:val="20"/>
          <w:szCs w:val="20"/>
          <w:lang w:val="pt-BR"/>
        </w:rPr>
        <w:t xml:space="preserve"> Não haverá exigência da garantia da contratação dos artigos 96 e seguintes da Lei nº 14.133, de 2021.</w:t>
      </w:r>
    </w:p>
    <w:p>
      <w:pPr>
        <w:pStyle w:val="PargrafodaLista1"/>
        <w:tabs>
          <w:tab w:val="clear" w:pos="708"/>
          <w:tab w:val="left" w:pos="284" w:leader="none"/>
        </w:tabs>
        <w:spacing w:lineRule="auto" w:line="276" w:before="57" w:after="57"/>
        <w:ind w:right="227"/>
        <w:jc w:val="both"/>
        <w:rPr>
          <w:rFonts w:ascii="Verdana" w:hAnsi="Verdana" w:cs="Times New Roman"/>
          <w:sz w:val="20"/>
          <w:szCs w:val="20"/>
          <w:lang w:val="pt-BR"/>
        </w:rPr>
      </w:pPr>
      <w:r>
        <w:rPr>
          <w:rFonts w:cs="Times New Roman" w:ascii="Verdana" w:hAnsi="Verdana"/>
          <w:sz w:val="20"/>
          <w:szCs w:val="20"/>
          <w:lang w:val="pt-BR"/>
        </w:rPr>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CLÁUSULA DÉCIMA SÉTIMA – DOS CASOS OMISSOS</w:t>
      </w:r>
    </w:p>
    <w:p>
      <w:pPr>
        <w:pStyle w:val="PargrafodaLista1"/>
        <w:tabs>
          <w:tab w:val="clear" w:pos="708"/>
          <w:tab w:val="left" w:pos="284" w:leader="none"/>
        </w:tabs>
        <w:spacing w:lineRule="auto" w:line="276" w:before="57" w:after="57"/>
        <w:ind w:right="227"/>
        <w:jc w:val="both"/>
        <w:rPr/>
      </w:pPr>
      <w:r>
        <w:rPr>
          <w:rFonts w:cs="Times New Roman" w:ascii="Verdana" w:hAnsi="Verdana"/>
          <w:b/>
          <w:bCs/>
          <w:sz w:val="20"/>
          <w:szCs w:val="20"/>
          <w:lang w:val="pt-BR"/>
        </w:rPr>
        <w:t>17.1</w:t>
      </w:r>
      <w:r>
        <w:rPr>
          <w:rFonts w:cs="Times New Roman" w:ascii="Verdana" w:hAnsi="Verdana"/>
          <w:sz w:val="20"/>
          <w:szCs w:val="20"/>
          <w:lang w:val="pt-BR"/>
        </w:rPr>
        <w:t xml:space="preserve"> Os casos omissos serão decididos pelo contratante, segundo as disposições contidas na Lei nº 14.133, de 2021, e demais normas federais aplicáveis e, subsidiariamente, segundo as disposições contidas na Lei nº 8.078, de 1990 – Código de Defesa do Consumidor, Lei de Introdução às Normas do Direito Brasileiro - LINDB. e normas e princípios gerais dos contratos.</w:t>
      </w:r>
    </w:p>
    <w:p>
      <w:pPr>
        <w:pStyle w:val="PargrafodaLista1"/>
        <w:tabs>
          <w:tab w:val="clear" w:pos="708"/>
          <w:tab w:val="left" w:pos="284" w:leader="none"/>
        </w:tabs>
        <w:spacing w:lineRule="auto" w:line="276" w:before="57" w:after="57"/>
        <w:ind w:right="227"/>
        <w:jc w:val="both"/>
        <w:rPr>
          <w:rFonts w:ascii="Verdana" w:hAnsi="Verdana" w:cs="Times New Roman"/>
          <w:color w:val="FFC000"/>
          <w:sz w:val="20"/>
          <w:szCs w:val="20"/>
          <w:lang w:val="pt-BR"/>
        </w:rPr>
      </w:pPr>
      <w:r>
        <w:rPr>
          <w:rFonts w:cs="Times New Roman" w:ascii="Verdana" w:hAnsi="Verdana"/>
          <w:color w:val="FFC000"/>
          <w:sz w:val="20"/>
          <w:szCs w:val="20"/>
          <w:lang w:val="pt-BR"/>
        </w:rPr>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CLÁUSULA DÉCIMA OITAVA – ALTERAÇÕES</w:t>
      </w:r>
    </w:p>
    <w:p>
      <w:pPr>
        <w:pStyle w:val="PargrafodaLista1"/>
        <w:tabs>
          <w:tab w:val="clear" w:pos="708"/>
          <w:tab w:val="left" w:pos="284" w:leader="none"/>
        </w:tabs>
        <w:spacing w:lineRule="auto" w:line="276" w:before="57" w:after="57"/>
        <w:ind w:right="227"/>
        <w:jc w:val="both"/>
        <w:rPr/>
      </w:pPr>
      <w:r>
        <w:rPr>
          <w:rFonts w:cs="Times New Roman" w:ascii="Verdana" w:hAnsi="Verdana"/>
          <w:b/>
          <w:bCs/>
          <w:sz w:val="20"/>
          <w:szCs w:val="20"/>
          <w:lang w:val="pt-BR"/>
        </w:rPr>
        <w:t>18.1</w:t>
      </w:r>
      <w:r>
        <w:rPr>
          <w:rFonts w:cs="Times New Roman" w:ascii="Verdana" w:hAnsi="Verdana"/>
          <w:sz w:val="20"/>
          <w:szCs w:val="20"/>
          <w:lang w:val="pt-BR"/>
        </w:rPr>
        <w:t xml:space="preserve"> Eventuais alterações contratuais reger-se-ão pela disciplina dos arts. 124 e seguintes da Lei nº 14.133, de 2021.</w:t>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18.2</w:t>
      </w:r>
      <w:r>
        <w:rPr>
          <w:rFonts w:cs="Times New Roman" w:ascii="Verdana" w:hAnsi="Verdana"/>
          <w:sz w:val="20"/>
          <w:szCs w:val="20"/>
          <w:lang w:val="pt-BR"/>
        </w:rPr>
        <w:t xml:space="preserve"> O contratado é obrigado a aceitar, nas mesmas condições contratuais, os acréscimos ou supressões que se fizerem necessários, até o limite de 25% (vinte e cinco por cento) do valor inicial atualizado do contrato.</w:t>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18.3</w:t>
      </w:r>
      <w:r>
        <w:rPr>
          <w:rFonts w:cs="Times New Roman" w:ascii="Verdana" w:hAnsi="Verdana"/>
          <w:sz w:val="20"/>
          <w:szCs w:val="20"/>
          <w:lang w:val="pt-BR"/>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PargrafodaLista1"/>
        <w:tabs>
          <w:tab w:val="clear" w:pos="708"/>
          <w:tab w:val="left" w:pos="284" w:leader="none"/>
        </w:tabs>
        <w:spacing w:lineRule="auto" w:line="276" w:before="57" w:after="57"/>
        <w:ind w:right="227"/>
        <w:jc w:val="both"/>
        <w:rPr/>
      </w:pPr>
      <w:r>
        <w:rPr>
          <w:rFonts w:cs="Times New Roman" w:ascii="Verdana" w:hAnsi="Verdana"/>
          <w:b/>
          <w:bCs/>
          <w:sz w:val="20"/>
          <w:szCs w:val="20"/>
          <w:lang w:val="pt-BR"/>
        </w:rPr>
        <w:t>18.4</w:t>
      </w:r>
      <w:r>
        <w:rPr>
          <w:rFonts w:cs="Times New Roman" w:ascii="Verdana" w:hAnsi="Verdana"/>
          <w:sz w:val="20"/>
          <w:szCs w:val="20"/>
          <w:lang w:val="pt-BR"/>
        </w:rPr>
        <w:t xml:space="preserve"> Registros que não caracterizam alteração do contrato podem ser realizados por simples apostila, dispensada a celebração de termo aditivo, na forma do art. 136, da Lei nº 14.133, de 2021.</w:t>
      </w:r>
    </w:p>
    <w:p>
      <w:pPr>
        <w:pStyle w:val="PargrafodaLista1"/>
        <w:tabs>
          <w:tab w:val="clear" w:pos="708"/>
          <w:tab w:val="left" w:pos="284" w:leader="none"/>
        </w:tabs>
        <w:spacing w:lineRule="auto" w:line="276" w:before="57" w:after="57"/>
        <w:ind w:right="227"/>
        <w:jc w:val="both"/>
        <w:rPr>
          <w:rFonts w:ascii="Verdana" w:hAnsi="Verdana" w:cs="Times New Roman"/>
          <w:color w:val="FFC000"/>
          <w:sz w:val="20"/>
          <w:szCs w:val="20"/>
          <w:lang w:val="pt-BR"/>
        </w:rPr>
      </w:pPr>
      <w:r>
        <w:rPr>
          <w:rFonts w:cs="Times New Roman" w:ascii="Verdana" w:hAnsi="Verdana"/>
          <w:color w:val="FFC000"/>
          <w:sz w:val="20"/>
          <w:szCs w:val="20"/>
          <w:lang w:val="pt-BR"/>
        </w:rPr>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CLÁUSULA DÉCIMA NONA - PUBLICAÇÃO</w:t>
      </w:r>
    </w:p>
    <w:p>
      <w:pPr>
        <w:pStyle w:val="PargrafodaLista1"/>
        <w:tabs>
          <w:tab w:val="clear" w:pos="708"/>
          <w:tab w:val="left" w:pos="284" w:leader="none"/>
        </w:tabs>
        <w:spacing w:lineRule="auto" w:line="276" w:before="57" w:after="57"/>
        <w:ind w:right="227"/>
        <w:jc w:val="both"/>
        <w:rPr/>
      </w:pPr>
      <w:r>
        <w:rPr>
          <w:rFonts w:cs="Times New Roman" w:ascii="Verdana" w:hAnsi="Verdana"/>
          <w:b/>
          <w:bCs/>
          <w:sz w:val="20"/>
          <w:szCs w:val="20"/>
          <w:lang w:val="pt-BR"/>
        </w:rPr>
        <w:t>19.1</w:t>
      </w:r>
      <w:r>
        <w:rPr>
          <w:rFonts w:cs="Times New Roman" w:ascii="Verdana" w:hAnsi="Verdana"/>
          <w:sz w:val="20"/>
          <w:szCs w:val="20"/>
          <w:lang w:val="pt-BR"/>
        </w:rPr>
        <w:t xml:space="preserve"> 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pPr>
        <w:pStyle w:val="PargrafodaLista1"/>
        <w:tabs>
          <w:tab w:val="clear" w:pos="708"/>
          <w:tab w:val="left" w:pos="284" w:leader="none"/>
        </w:tabs>
        <w:spacing w:lineRule="auto" w:line="276" w:before="57" w:after="57"/>
        <w:ind w:right="227"/>
        <w:jc w:val="both"/>
        <w:rPr>
          <w:rFonts w:ascii="Verdana" w:hAnsi="Verdana" w:cs="Times New Roman"/>
          <w:sz w:val="20"/>
          <w:szCs w:val="20"/>
          <w:lang w:val="pt-BR"/>
        </w:rPr>
      </w:pPr>
      <w:r>
        <w:rPr>
          <w:rFonts w:cs="Times New Roman" w:ascii="Verdana" w:hAnsi="Verdana"/>
          <w:sz w:val="20"/>
          <w:szCs w:val="20"/>
          <w:lang w:val="pt-BR"/>
        </w:rPr>
      </w:r>
    </w:p>
    <w:p>
      <w:pPr>
        <w:pStyle w:val="PargrafodaLista1"/>
        <w:tabs>
          <w:tab w:val="clear" w:pos="708"/>
          <w:tab w:val="left" w:pos="284" w:leader="none"/>
        </w:tabs>
        <w:spacing w:lineRule="auto" w:line="276" w:before="57" w:after="57"/>
        <w:ind w:right="227"/>
        <w:jc w:val="both"/>
        <w:rPr>
          <w:rFonts w:ascii="Verdana" w:hAnsi="Verdana" w:cs="Times New Roman"/>
          <w:sz w:val="20"/>
          <w:szCs w:val="20"/>
          <w:lang w:val="pt-BR"/>
        </w:rPr>
      </w:pPr>
      <w:r>
        <w:rPr>
          <w:rFonts w:cs="Times New Roman" w:ascii="Verdana" w:hAnsi="Verdana"/>
          <w:sz w:val="20"/>
          <w:szCs w:val="20"/>
          <w:lang w:val="pt-BR"/>
        </w:rPr>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b/>
          <w:bCs/>
          <w:sz w:val="20"/>
          <w:szCs w:val="20"/>
          <w:lang w:val="pt-BR"/>
        </w:rPr>
        <w:t xml:space="preserve">CLÁUSULA VIGÉSIMA– FORO </w:t>
      </w:r>
    </w:p>
    <w:p>
      <w:pPr>
        <w:pStyle w:val="PargrafodaLista1"/>
        <w:tabs>
          <w:tab w:val="clear" w:pos="708"/>
          <w:tab w:val="left" w:pos="284" w:leader="none"/>
        </w:tabs>
        <w:spacing w:lineRule="auto" w:line="276" w:before="57" w:after="57"/>
        <w:ind w:right="227"/>
        <w:jc w:val="both"/>
        <w:rPr/>
      </w:pPr>
      <w:r>
        <w:rPr>
          <w:rFonts w:cs="Times New Roman" w:ascii="Verdana" w:hAnsi="Verdana"/>
          <w:b/>
          <w:bCs/>
          <w:sz w:val="20"/>
          <w:szCs w:val="20"/>
          <w:lang w:val="pt-BR"/>
        </w:rPr>
        <w:t>20.1</w:t>
      </w:r>
      <w:r>
        <w:rPr>
          <w:rFonts w:cs="Times New Roman" w:ascii="Verdana" w:hAnsi="Verdana"/>
          <w:sz w:val="20"/>
          <w:szCs w:val="20"/>
          <w:lang w:val="pt-BR"/>
        </w:rPr>
        <w:t xml:space="preserve"> Fica eleito o Foro Comarca de São Gabriel da Palha, Estado do Espírito Santo para dirimir os litígios que decorrerem da execução deste Termo de Contrato que não puderem ser compostos pela conciliação, conforme art. 92, §1º, da Lei nº 14.133/21.</w:t>
      </w:r>
    </w:p>
    <w:p>
      <w:pPr>
        <w:pStyle w:val="PargrafodaLista1"/>
        <w:tabs>
          <w:tab w:val="clear" w:pos="708"/>
          <w:tab w:val="left" w:pos="284" w:leader="none"/>
        </w:tabs>
        <w:spacing w:lineRule="auto" w:line="276" w:before="57" w:after="57"/>
        <w:ind w:right="227"/>
        <w:jc w:val="both"/>
        <w:rPr>
          <w:rFonts w:ascii="Verdana" w:hAnsi="Verdana" w:cs="Times New Roman"/>
          <w:sz w:val="20"/>
          <w:szCs w:val="20"/>
          <w:lang w:val="pt-BR"/>
        </w:rPr>
      </w:pPr>
      <w:r>
        <w:rPr>
          <w:rFonts w:cs="Times New Roman" w:ascii="Verdana" w:hAnsi="Verdana"/>
          <w:sz w:val="20"/>
          <w:szCs w:val="20"/>
          <w:lang w:val="pt-BR"/>
        </w:rPr>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sz w:val="20"/>
          <w:szCs w:val="20"/>
          <w:lang w:val="pt-BR"/>
        </w:rPr>
        <w:t>E por estarem assim ajustados e pactuados, firmam o presente Contrato em 3 (três) vias físicas de igual teor e forma, ou em via digital, na presença das testemunhas abaixo identificadas, para que produza seus legais e jurídicos efeitos.</w:t>
      </w:r>
    </w:p>
    <w:p>
      <w:pPr>
        <w:pStyle w:val="PargrafodaLista1"/>
        <w:tabs>
          <w:tab w:val="clear" w:pos="708"/>
          <w:tab w:val="left" w:pos="284" w:leader="none"/>
        </w:tabs>
        <w:spacing w:lineRule="auto" w:line="276" w:before="57" w:after="57"/>
        <w:ind w:right="227"/>
        <w:jc w:val="both"/>
        <w:rPr>
          <w:rFonts w:ascii="Verdana" w:hAnsi="Verdana" w:cs="Times New Roman"/>
          <w:color w:val="FFC000"/>
          <w:sz w:val="20"/>
          <w:szCs w:val="20"/>
          <w:lang w:val="pt-BR"/>
        </w:rPr>
      </w:pPr>
      <w:r>
        <w:rPr>
          <w:rFonts w:cs="Times New Roman" w:ascii="Verdana" w:hAnsi="Verdana"/>
          <w:color w:val="FFC000"/>
          <w:sz w:val="20"/>
          <w:szCs w:val="20"/>
          <w:lang w:val="pt-BR"/>
        </w:rPr>
      </w:r>
    </w:p>
    <w:p>
      <w:pPr>
        <w:pStyle w:val="PargrafodaLista1"/>
        <w:tabs>
          <w:tab w:val="clear" w:pos="708"/>
          <w:tab w:val="left" w:pos="284" w:leader="none"/>
        </w:tabs>
        <w:spacing w:lineRule="auto" w:line="276" w:before="57" w:after="57"/>
        <w:ind w:right="227"/>
        <w:jc w:val="both"/>
        <w:rPr>
          <w:rFonts w:ascii="Verdana" w:hAnsi="Verdana"/>
          <w:sz w:val="20"/>
          <w:szCs w:val="20"/>
        </w:rPr>
      </w:pPr>
      <w:r>
        <w:rPr>
          <w:rFonts w:cs="Times New Roman" w:ascii="Verdana" w:hAnsi="Verdana"/>
          <w:sz w:val="20"/>
          <w:szCs w:val="20"/>
          <w:lang w:val="pt-BR"/>
        </w:rPr>
        <w:t>São Gabriel da Palha - ES, ____ de ___________ de ____.</w:t>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widowControl/>
        <w:suppressAutoHyphens w:val="true"/>
        <w:overflowPunct w:val="false"/>
        <w:bidi w:val="0"/>
        <w:spacing w:lineRule="auto" w:line="276" w:before="57" w:after="57"/>
        <w:ind w:hanging="0" w:left="0" w:right="0"/>
        <w:jc w:val="both"/>
        <w:rPr>
          <w:rFonts w:ascii="Verdana" w:hAnsi="Verdana" w:eastAsia="Times New Roman"/>
          <w:b/>
          <w:sz w:val="20"/>
          <w:szCs w:val="20"/>
        </w:rPr>
      </w:pPr>
      <w:r>
        <w:rPr>
          <w:rFonts w:eastAsia="Times New Roman" w:ascii="Verdana" w:hAnsi="Verdana"/>
          <w:b/>
          <w:sz w:val="20"/>
          <w:szCs w:val="20"/>
        </w:rPr>
      </w:r>
    </w:p>
    <w:p>
      <w:pPr>
        <w:pStyle w:val="Normal"/>
        <w:widowControl/>
        <w:suppressAutoHyphens w:val="true"/>
        <w:overflowPunct w:val="false"/>
        <w:bidi w:val="0"/>
        <w:spacing w:lineRule="auto" w:line="276" w:before="57" w:after="57"/>
        <w:ind w:hanging="0" w:left="0" w:right="0"/>
        <w:jc w:val="center"/>
        <w:rPr>
          <w:rFonts w:ascii="Verdana" w:hAnsi="Verdana"/>
          <w:sz w:val="20"/>
          <w:szCs w:val="20"/>
        </w:rPr>
      </w:pPr>
      <w:r>
        <w:rPr>
          <w:rFonts w:ascii="Verdana" w:hAnsi="Verdana"/>
          <w:b/>
          <w:sz w:val="20"/>
          <w:szCs w:val="20"/>
        </w:rPr>
        <w:t>______________________________________________</w:t>
      </w:r>
    </w:p>
    <w:p>
      <w:pPr>
        <w:pStyle w:val="Normal"/>
        <w:widowControl/>
        <w:suppressAutoHyphens w:val="true"/>
        <w:overflowPunct w:val="false"/>
        <w:bidi w:val="0"/>
        <w:spacing w:lineRule="auto" w:line="276" w:before="57" w:after="57"/>
        <w:ind w:hanging="0" w:left="0" w:right="0"/>
        <w:jc w:val="center"/>
        <w:rPr>
          <w:rFonts w:ascii="Verdana" w:hAnsi="Verdana"/>
          <w:sz w:val="20"/>
          <w:szCs w:val="20"/>
        </w:rPr>
      </w:pPr>
      <w:r>
        <w:rPr>
          <w:rFonts w:ascii="Verdana" w:hAnsi="Verdana"/>
          <w:smallCaps/>
          <w:sz w:val="20"/>
          <w:szCs w:val="20"/>
        </w:rPr>
        <w:t>SUPERINTENDENTE CASP-SGP</w:t>
      </w:r>
    </w:p>
    <w:p>
      <w:pPr>
        <w:pStyle w:val="Normal"/>
        <w:widowControl/>
        <w:suppressAutoHyphens w:val="true"/>
        <w:overflowPunct w:val="false"/>
        <w:bidi w:val="0"/>
        <w:spacing w:lineRule="auto" w:line="276" w:before="57" w:after="57"/>
        <w:ind w:hanging="0" w:left="0" w:right="0"/>
        <w:jc w:val="center"/>
        <w:rPr>
          <w:rFonts w:ascii="Verdana" w:hAnsi="Verdana"/>
          <w:sz w:val="20"/>
          <w:szCs w:val="20"/>
        </w:rPr>
      </w:pPr>
      <w:r>
        <w:rPr>
          <w:rFonts w:ascii="Verdana" w:hAnsi="Verdana"/>
          <w:sz w:val="20"/>
          <w:szCs w:val="20"/>
        </w:rPr>
      </w:r>
    </w:p>
    <w:p>
      <w:pPr>
        <w:pStyle w:val="Normal"/>
        <w:widowControl/>
        <w:suppressAutoHyphens w:val="true"/>
        <w:overflowPunct w:val="false"/>
        <w:bidi w:val="0"/>
        <w:spacing w:lineRule="auto" w:line="276" w:before="57" w:after="57"/>
        <w:ind w:hanging="0" w:left="0" w:right="0"/>
        <w:jc w:val="center"/>
        <w:rPr>
          <w:rFonts w:ascii="Verdana" w:hAnsi="Verdana"/>
          <w:b/>
          <w:smallCaps/>
          <w:sz w:val="20"/>
          <w:szCs w:val="20"/>
        </w:rPr>
      </w:pPr>
      <w:r>
        <w:rPr>
          <w:rFonts w:ascii="Verdana" w:hAnsi="Verdana"/>
          <w:b/>
          <w:smallCaps/>
          <w:sz w:val="20"/>
          <w:szCs w:val="20"/>
        </w:rPr>
      </w:r>
    </w:p>
    <w:p>
      <w:pPr>
        <w:pStyle w:val="Normal"/>
        <w:widowControl/>
        <w:suppressAutoHyphens w:val="true"/>
        <w:overflowPunct w:val="false"/>
        <w:bidi w:val="0"/>
        <w:spacing w:lineRule="auto" w:line="276" w:before="57" w:after="57"/>
        <w:ind w:hanging="0" w:left="0" w:right="0"/>
        <w:jc w:val="center"/>
        <w:rPr>
          <w:rFonts w:ascii="Verdana" w:hAnsi="Verdana"/>
          <w:sz w:val="20"/>
          <w:szCs w:val="20"/>
        </w:rPr>
      </w:pPr>
      <w:r>
        <w:rPr>
          <w:rFonts w:ascii="Verdana" w:hAnsi="Verdana"/>
          <w:b/>
          <w:sz w:val="20"/>
          <w:szCs w:val="20"/>
        </w:rPr>
        <w:t>_________________________________</w:t>
      </w:r>
    </w:p>
    <w:p>
      <w:pPr>
        <w:pStyle w:val="Normal"/>
        <w:spacing w:before="57" w:after="57"/>
        <w:ind w:hanging="0" w:left="0" w:right="0"/>
        <w:jc w:val="center"/>
        <w:rPr>
          <w:rFonts w:ascii="Verdana" w:hAnsi="Verdana"/>
          <w:sz w:val="20"/>
          <w:szCs w:val="20"/>
        </w:rPr>
      </w:pPr>
      <w:r>
        <w:rPr>
          <w:rFonts w:ascii="Verdana" w:hAnsi="Verdana"/>
          <w:smallCaps/>
          <w:sz w:val="20"/>
          <w:szCs w:val="20"/>
        </w:rPr>
        <w:t>Administrador – (CONTRATADA)</w:t>
      </w:r>
    </w:p>
    <w:p>
      <w:pPr>
        <w:pStyle w:val="Normal"/>
        <w:spacing w:before="57" w:after="57"/>
        <w:ind w:hanging="0" w:left="0" w:right="0"/>
        <w:jc w:val="center"/>
        <w:rPr>
          <w:rFonts w:ascii="Verdana" w:hAnsi="Verdana"/>
          <w:sz w:val="20"/>
          <w:szCs w:val="20"/>
        </w:rPr>
      </w:pPr>
      <w:r>
        <w:rPr/>
      </w:r>
    </w:p>
    <w:p>
      <w:pPr>
        <w:pStyle w:val="Normal"/>
        <w:widowControl/>
        <w:suppressAutoHyphens w:val="true"/>
        <w:overflowPunct w:val="false"/>
        <w:bidi w:val="0"/>
        <w:spacing w:lineRule="auto" w:line="276" w:before="57" w:after="57"/>
        <w:ind w:hanging="0" w:left="0" w:right="0"/>
        <w:jc w:val="both"/>
        <w:rPr>
          <w:rFonts w:ascii="Verdana" w:hAnsi="Verdana" w:eastAsia="Times New Roman"/>
          <w:sz w:val="20"/>
          <w:szCs w:val="20"/>
        </w:rPr>
      </w:pPr>
      <w:r>
        <w:rPr>
          <w:rFonts w:eastAsia="Times New Roman" w:ascii="Verdana" w:hAnsi="Verdana"/>
          <w:sz w:val="20"/>
          <w:szCs w:val="20"/>
        </w:rPr>
      </w:r>
    </w:p>
    <w:p>
      <w:pPr>
        <w:pStyle w:val="Normal"/>
        <w:widowControl/>
        <w:suppressAutoHyphens w:val="true"/>
        <w:overflowPunct w:val="false"/>
        <w:bidi w:val="0"/>
        <w:spacing w:lineRule="auto" w:line="276" w:before="57" w:after="57"/>
        <w:ind w:hanging="0" w:left="0" w:right="0"/>
        <w:jc w:val="both"/>
        <w:rPr>
          <w:rFonts w:ascii="Verdana" w:hAnsi="Verdana"/>
          <w:sz w:val="20"/>
          <w:szCs w:val="20"/>
        </w:rPr>
      </w:pPr>
      <w:r>
        <w:rPr>
          <w:rFonts w:eastAsia="Times New Roman" w:ascii="Verdana" w:hAnsi="Verdana"/>
          <w:sz w:val="20"/>
          <w:szCs w:val="20"/>
        </w:rPr>
        <w:t>TESTEMUNHAS:</w:t>
      </w:r>
    </w:p>
    <w:p>
      <w:pPr>
        <w:pStyle w:val="Normal"/>
        <w:widowControl/>
        <w:suppressAutoHyphens w:val="true"/>
        <w:overflowPunct w:val="false"/>
        <w:bidi w:val="0"/>
        <w:spacing w:lineRule="auto" w:line="276" w:before="57" w:after="57"/>
        <w:ind w:hanging="0" w:left="0" w:right="0"/>
        <w:jc w:val="both"/>
        <w:rPr>
          <w:rFonts w:ascii="Verdana" w:hAnsi="Verdana" w:eastAsia="Times New Roman"/>
          <w:b/>
          <w:sz w:val="20"/>
          <w:szCs w:val="20"/>
        </w:rPr>
      </w:pPr>
      <w:r>
        <w:rPr>
          <w:rFonts w:eastAsia="Times New Roman" w:ascii="Verdana" w:hAnsi="Verdana"/>
          <w:b/>
          <w:sz w:val="20"/>
          <w:szCs w:val="20"/>
        </w:rPr>
      </w:r>
    </w:p>
    <w:p>
      <w:pPr>
        <w:pStyle w:val="Normal"/>
        <w:widowControl/>
        <w:suppressAutoHyphens w:val="true"/>
        <w:overflowPunct w:val="false"/>
        <w:bidi w:val="0"/>
        <w:spacing w:lineRule="auto" w:line="276" w:before="57" w:after="57"/>
        <w:ind w:hanging="0" w:left="0" w:right="0"/>
        <w:jc w:val="both"/>
        <w:rPr>
          <w:rFonts w:ascii="Verdana" w:hAnsi="Verdana"/>
          <w:sz w:val="20"/>
          <w:szCs w:val="20"/>
        </w:rPr>
      </w:pPr>
      <w:r>
        <w:rPr>
          <w:rFonts w:eastAsia="Times New Roman" w:ascii="Verdana" w:hAnsi="Verdana"/>
          <w:sz w:val="20"/>
          <w:szCs w:val="20"/>
        </w:rPr>
        <w:t>1 ______________________________________</w:t>
      </w:r>
    </w:p>
    <w:p>
      <w:pPr>
        <w:pStyle w:val="Normal"/>
        <w:widowControl/>
        <w:suppressAutoHyphens w:val="true"/>
        <w:overflowPunct w:val="false"/>
        <w:bidi w:val="0"/>
        <w:spacing w:lineRule="auto" w:line="276" w:before="57" w:after="57"/>
        <w:ind w:hanging="0" w:left="0" w:right="0"/>
        <w:jc w:val="both"/>
        <w:rPr>
          <w:rFonts w:ascii="Verdana" w:hAnsi="Verdana"/>
          <w:sz w:val="20"/>
          <w:szCs w:val="20"/>
        </w:rPr>
      </w:pPr>
      <w:r>
        <w:rPr>
          <w:rFonts w:eastAsia="Times New Roman" w:ascii="Verdana" w:hAnsi="Verdana"/>
          <w:sz w:val="20"/>
          <w:szCs w:val="20"/>
        </w:rPr>
        <w:t>Nome:</w:t>
      </w:r>
    </w:p>
    <w:p>
      <w:pPr>
        <w:pStyle w:val="Normal"/>
        <w:widowControl/>
        <w:suppressAutoHyphens w:val="true"/>
        <w:overflowPunct w:val="false"/>
        <w:bidi w:val="0"/>
        <w:spacing w:lineRule="auto" w:line="276" w:before="57" w:after="57"/>
        <w:ind w:hanging="0" w:left="0" w:right="0"/>
        <w:jc w:val="both"/>
        <w:rPr>
          <w:rFonts w:ascii="Verdana" w:hAnsi="Verdana"/>
          <w:sz w:val="20"/>
          <w:szCs w:val="20"/>
        </w:rPr>
      </w:pPr>
      <w:r>
        <w:rPr>
          <w:rFonts w:eastAsia="Times New Roman" w:ascii="Verdana" w:hAnsi="Verdana"/>
          <w:sz w:val="20"/>
          <w:szCs w:val="20"/>
        </w:rPr>
        <w:t>CPF:</w:t>
      </w:r>
    </w:p>
    <w:p>
      <w:pPr>
        <w:pStyle w:val="Normal"/>
        <w:widowControl/>
        <w:suppressAutoHyphens w:val="true"/>
        <w:overflowPunct w:val="false"/>
        <w:bidi w:val="0"/>
        <w:spacing w:lineRule="auto" w:line="276" w:before="57" w:after="57"/>
        <w:ind w:hanging="0" w:left="0" w:right="0"/>
        <w:jc w:val="both"/>
        <w:rPr>
          <w:rFonts w:ascii="Verdana" w:hAnsi="Verdana"/>
          <w:sz w:val="20"/>
          <w:szCs w:val="20"/>
        </w:rPr>
      </w:pPr>
      <w:r>
        <w:rPr>
          <w:rFonts w:eastAsia="Times New Roman" w:ascii="Verdana" w:hAnsi="Verdana"/>
          <w:sz w:val="20"/>
          <w:szCs w:val="20"/>
        </w:rPr>
        <w:br/>
        <w:t>2 ______________________________________</w:t>
      </w:r>
    </w:p>
    <w:p>
      <w:pPr>
        <w:pStyle w:val="Normal"/>
        <w:widowControl/>
        <w:suppressAutoHyphens w:val="true"/>
        <w:overflowPunct w:val="false"/>
        <w:bidi w:val="0"/>
        <w:spacing w:lineRule="auto" w:line="276" w:before="57" w:after="57"/>
        <w:ind w:hanging="0" w:left="0" w:right="0"/>
        <w:jc w:val="both"/>
        <w:rPr>
          <w:rFonts w:ascii="Verdana" w:hAnsi="Verdana"/>
          <w:sz w:val="20"/>
          <w:szCs w:val="20"/>
        </w:rPr>
      </w:pPr>
      <w:r>
        <w:rPr>
          <w:rFonts w:eastAsia="Times New Roman" w:ascii="Verdana" w:hAnsi="Verdana"/>
          <w:sz w:val="20"/>
          <w:szCs w:val="20"/>
        </w:rPr>
        <w:t>Nome:</w:t>
      </w:r>
    </w:p>
    <w:p>
      <w:pPr>
        <w:pStyle w:val="Normal"/>
        <w:widowControl/>
        <w:suppressAutoHyphens w:val="true"/>
        <w:overflowPunct w:val="false"/>
        <w:bidi w:val="0"/>
        <w:spacing w:lineRule="auto" w:line="276" w:before="57" w:after="57"/>
        <w:ind w:hanging="0" w:left="0" w:right="0"/>
        <w:jc w:val="both"/>
        <w:rPr>
          <w:rFonts w:ascii="Verdana" w:hAnsi="Verdana"/>
          <w:sz w:val="20"/>
          <w:szCs w:val="20"/>
        </w:rPr>
      </w:pPr>
      <w:r>
        <w:rPr>
          <w:rFonts w:eastAsia="Times New Roman" w:ascii="Verdana" w:hAnsi="Verdana"/>
          <w:sz w:val="20"/>
          <w:szCs w:val="20"/>
        </w:rPr>
        <w:t>CPF:</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230" w:right="1133" w:gutter="0" w:header="567" w:top="624" w:footer="0" w:bottom="5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Symbo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Courier New">
    <w:charset w:val="00"/>
    <w:family w:val="roman"/>
    <w:pitch w:val="variable"/>
  </w:font>
  <w:font w:name="Ecofont_Spranq_eco_Sans">
    <w:charset w:val="00"/>
    <w:family w:val="roman"/>
    <w:pitch w:val="variable"/>
  </w:font>
  <w:font w:name="Verdana">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40" w:before="0" w:after="0"/>
      <w:jc w:val="center"/>
      <w:rPr>
        <w:sz w:val="12"/>
        <w:szCs w:val="12"/>
      </w:rPr>
    </w:pPr>
    <w:r>
      <w:rPr>
        <w:sz w:val="12"/>
        <w:szCs w:val="12"/>
      </w:rPr>
    </w:r>
  </w:p>
  <w:p>
    <w:pPr>
      <w:pStyle w:val="Normal"/>
      <w:spacing w:lineRule="auto" w:line="240"/>
      <w:jc w:val="center"/>
      <w:rPr/>
    </w:pPr>
    <w:r>
      <w:rPr>
        <w:sz w:val="16"/>
        <w:szCs w:val="14"/>
      </w:rPr>
      <w:t>Rua 14 de Maio, 192, Bairro Glória, CEP 29780-000 - São Gabriel da Palha, ES | CNPJ 05.251.479/0001-52</w:t>
      <w:br/>
      <w:t>saogabrielprev@gmail.com| 27 3727-1010</w:t>
    </w:r>
  </w:p>
  <w:p>
    <w:pPr>
      <w:pStyle w:val="Footer"/>
      <w:spacing w:lineRule="auto" w:line="24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40" w:before="0" w:after="0"/>
      <w:jc w:val="center"/>
      <w:rPr>
        <w:sz w:val="12"/>
        <w:szCs w:val="12"/>
      </w:rPr>
    </w:pPr>
    <w:r>
      <w:rPr>
        <w:sz w:val="12"/>
        <w:szCs w:val="12"/>
      </w:rPr>
    </w:r>
  </w:p>
  <w:p>
    <w:pPr>
      <w:pStyle w:val="Normal"/>
      <w:spacing w:lineRule="auto" w:line="240"/>
      <w:jc w:val="center"/>
      <w:rPr/>
    </w:pPr>
    <w:r>
      <w:rPr>
        <w:sz w:val="16"/>
        <w:szCs w:val="14"/>
      </w:rPr>
      <w:t>Rua 14 de Maio, 192, Bairro Glória, CEP 29780-000 - São Gabriel da Palha, ES | CNPJ 05.251.479/0001-52</w:t>
      <w:br/>
      <w:t>saogabrielprev@gmail.com| 27 3727-1010</w:t>
    </w:r>
  </w:p>
  <w:p>
    <w:pPr>
      <w:pStyle w:val="Footer"/>
      <w:spacing w:lineRule="auto" w:line="24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anchor behindDoc="1" distT="0" distB="0" distL="114300" distR="114300" simplePos="0" locked="0" layoutInCell="0" allowOverlap="1" relativeHeight="16">
          <wp:simplePos x="0" y="0"/>
          <wp:positionH relativeFrom="column">
            <wp:posOffset>2301240</wp:posOffset>
          </wp:positionH>
          <wp:positionV relativeFrom="paragraph">
            <wp:posOffset>-143510</wp:posOffset>
          </wp:positionV>
          <wp:extent cx="1141730" cy="459740"/>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tretch>
                    <a:fillRect/>
                  </a:stretch>
                </pic:blipFill>
                <pic:spPr bwMode="auto">
                  <a:xfrm>
                    <a:off x="0" y="0"/>
                    <a:ext cx="1141730" cy="459740"/>
                  </a:xfrm>
                  <a:prstGeom prst="rect">
                    <a:avLst/>
                  </a:prstGeom>
                </pic:spPr>
              </pic:pic>
            </a:graphicData>
          </a:graphic>
        </wp:anchor>
      </w:drawing>
    </w:r>
  </w:p>
  <w:p>
    <w:pPr>
      <w:pStyle w:val="Header"/>
      <w:jc w:val="center"/>
      <w:rPr>
        <w:b/>
      </w:rPr>
    </w:pPr>
    <w:r>
      <w:rPr>
        <w:b/>
      </w:rPr>
    </w:r>
  </w:p>
  <w:p>
    <w:pPr>
      <w:pStyle w:val="Header"/>
      <w:jc w:val="center"/>
      <w:rPr>
        <w:sz w:val="20"/>
        <w:szCs w:val="20"/>
      </w:rPr>
    </w:pPr>
    <w:r>
      <w:rPr>
        <w:b/>
        <w:sz w:val="20"/>
        <w:szCs w:val="20"/>
      </w:rPr>
      <w:t>CAIXA DE ASSISTÊNCIA DOS SERVIDORES PÚBLICOS</w:t>
    </w:r>
  </w:p>
  <w:p>
    <w:pPr>
      <w:pStyle w:val="Header"/>
      <w:jc w:val="center"/>
      <w:rPr>
        <w:sz w:val="20"/>
        <w:szCs w:val="20"/>
      </w:rPr>
    </w:pPr>
    <w:r>
      <w:rPr>
        <w:b/>
        <w:sz w:val="20"/>
        <w:szCs w:val="20"/>
      </w:rPr>
      <w:t>DO MUNICÍPIO DE SÃO GABRIEL DA PALHA</w:t>
    </w:r>
  </w:p>
  <w:p>
    <w:pPr>
      <w:pStyle w:val="Header"/>
      <w:jc w:val="center"/>
      <w:rPr>
        <w:sz w:val="20"/>
        <w:szCs w:val="20"/>
      </w:rPr>
    </w:pPr>
    <w:r>
      <w:rPr>
        <w:sz w:val="20"/>
        <w:szCs w:val="20"/>
      </w:rPr>
      <w:t>Estado do Espírito Santo</w:t>
    </w:r>
  </w:p>
  <w:p>
    <w:pPr>
      <w:pStyle w:val="Header"/>
      <w:jc w:val="center"/>
      <w:rPr>
        <w:sz w:val="16"/>
        <w:szCs w:val="16"/>
      </w:rPr>
    </w:pPr>
    <w:r>
      <w:rPr>
        <w:sz w:val="16"/>
        <w:szCs w:val="16"/>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anchor behindDoc="1" distT="0" distB="0" distL="114300" distR="114300" simplePos="0" locked="0" layoutInCell="0" allowOverlap="1" relativeHeight="16">
          <wp:simplePos x="0" y="0"/>
          <wp:positionH relativeFrom="column">
            <wp:posOffset>2301240</wp:posOffset>
          </wp:positionH>
          <wp:positionV relativeFrom="paragraph">
            <wp:posOffset>-143510</wp:posOffset>
          </wp:positionV>
          <wp:extent cx="1141730" cy="459740"/>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1141730" cy="459740"/>
                  </a:xfrm>
                  <a:prstGeom prst="rect">
                    <a:avLst/>
                  </a:prstGeom>
                </pic:spPr>
              </pic:pic>
            </a:graphicData>
          </a:graphic>
        </wp:anchor>
      </w:drawing>
    </w:r>
  </w:p>
  <w:p>
    <w:pPr>
      <w:pStyle w:val="Header"/>
      <w:jc w:val="center"/>
      <w:rPr>
        <w:b/>
      </w:rPr>
    </w:pPr>
    <w:r>
      <w:rPr>
        <w:b/>
      </w:rPr>
    </w:r>
  </w:p>
  <w:p>
    <w:pPr>
      <w:pStyle w:val="Header"/>
      <w:jc w:val="center"/>
      <w:rPr>
        <w:sz w:val="20"/>
        <w:szCs w:val="20"/>
      </w:rPr>
    </w:pPr>
    <w:r>
      <w:rPr>
        <w:b/>
        <w:sz w:val="20"/>
        <w:szCs w:val="20"/>
      </w:rPr>
      <w:t>CAIXA DE ASSISTÊNCIA DOS SERVIDORES PÚBLICOS</w:t>
    </w:r>
  </w:p>
  <w:p>
    <w:pPr>
      <w:pStyle w:val="Header"/>
      <w:jc w:val="center"/>
      <w:rPr>
        <w:sz w:val="20"/>
        <w:szCs w:val="20"/>
      </w:rPr>
    </w:pPr>
    <w:r>
      <w:rPr>
        <w:b/>
        <w:sz w:val="20"/>
        <w:szCs w:val="20"/>
      </w:rPr>
      <w:t>DO MUNICÍPIO DE SÃO GABRIEL DA PALHA</w:t>
    </w:r>
  </w:p>
  <w:p>
    <w:pPr>
      <w:pStyle w:val="Header"/>
      <w:jc w:val="center"/>
      <w:rPr>
        <w:sz w:val="20"/>
        <w:szCs w:val="20"/>
      </w:rPr>
    </w:pPr>
    <w:r>
      <w:rPr>
        <w:sz w:val="20"/>
        <w:szCs w:val="20"/>
      </w:rPr>
      <w:t>Estado do Espírito Santo</w:t>
    </w:r>
  </w:p>
  <w:p>
    <w:pPr>
      <w:pStyle w:val="Header"/>
      <w:jc w:val="center"/>
      <w:rPr>
        <w:sz w:val="16"/>
        <w:szCs w:val="16"/>
      </w:rPr>
    </w:pPr>
    <w:r>
      <w:rPr>
        <w:sz w:val="16"/>
        <w:szCs w:val="16"/>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lowerLetter"/>
      <w:lvlText w:val="%1)"/>
      <w:lvlJc w:val="left"/>
      <w:pPr>
        <w:tabs>
          <w:tab w:val="num" w:pos="780"/>
        </w:tabs>
        <w:ind w:left="780" w:hanging="420"/>
      </w:pPr>
      <w:rPr>
        <w:sz w:val="24"/>
        <w:b/>
        <w:szCs w:val="24"/>
        <w:rFonts w:ascii="Arial Narrow" w:hAnsi="Arial Narrow"/>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2">
    <w:lvl w:ilvl="0">
      <w:start w:val="1"/>
      <w:numFmt w:val="lowerLetter"/>
      <w:lvlText w:val="%1)"/>
      <w:lvlJc w:val="left"/>
      <w:pPr>
        <w:tabs>
          <w:tab w:val="num" w:pos="0"/>
        </w:tabs>
        <w:ind w:left="0" w:hanging="0"/>
      </w:pPr>
      <w:rPr>
        <w:sz w:val="24"/>
        <w:i w:val="false"/>
        <w:u w:val="none"/>
        <w:b/>
        <w:szCs w:val="24"/>
        <w:rFonts w:ascii="Arial Narrow" w:hAnsi="Arial Narrow" w:cs="Times New Roman"/>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lowerLetter"/>
      <w:lvlText w:val="%1)"/>
      <w:lvlJc w:val="left"/>
      <w:pPr>
        <w:tabs>
          <w:tab w:val="num" w:pos="0"/>
        </w:tabs>
        <w:ind w:left="0" w:hanging="0"/>
      </w:pPr>
      <w:rPr>
        <w:sz w:val="24"/>
        <w:i w:val="false"/>
        <w:u w:val="none"/>
        <w:b/>
        <w:szCs w:val="24"/>
        <w:rFonts w:ascii="Arial Narrow" w:hAnsi="Arial Narrow" w:cs="Times New Roman"/>
        <w:color w:val="auto"/>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4">
    <w:lvl w:ilvl="0">
      <w:start w:val="1"/>
      <w:numFmt w:val="lowerLetter"/>
      <w:lvlText w:val="%1)"/>
      <w:lvlJc w:val="left"/>
      <w:pPr>
        <w:tabs>
          <w:tab w:val="num" w:pos="720"/>
        </w:tabs>
        <w:ind w:left="720" w:hanging="360"/>
      </w:pPr>
      <w:rPr/>
    </w:lvl>
    <w:lvl w:ilvl="1">
      <w:start w:val="1"/>
      <w:numFmt w:val="lowerLetter"/>
      <w:lvlText w:val="%2)"/>
      <w:lvlJc w:val="left"/>
      <w:pPr>
        <w:tabs>
          <w:tab w:val="num" w:pos="1080"/>
        </w:tabs>
        <w:ind w:left="1080" w:hanging="360"/>
      </w:pPr>
      <w:rPr/>
    </w:lvl>
    <w:lvl w:ilvl="2">
      <w:start w:val="1"/>
      <w:numFmt w:val="lowerLetter"/>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lowerLetter"/>
      <w:lvlText w:val="%5)"/>
      <w:lvlJc w:val="left"/>
      <w:pPr>
        <w:tabs>
          <w:tab w:val="num" w:pos="2160"/>
        </w:tabs>
        <w:ind w:left="2160" w:hanging="360"/>
      </w:pPr>
      <w:rPr/>
    </w:lvl>
    <w:lvl w:ilvl="5">
      <w:start w:val="1"/>
      <w:numFmt w:val="lowerLetter"/>
      <w:lvlText w:val="%6)"/>
      <w:lvlJc w:val="left"/>
      <w:pPr>
        <w:tabs>
          <w:tab w:val="num" w:pos="2520"/>
        </w:tabs>
        <w:ind w:left="2520" w:hanging="360"/>
      </w:pPr>
      <w:rPr/>
    </w:lvl>
    <w:lvl w:ilvl="6">
      <w:start w:val="1"/>
      <w:numFmt w:val="lowerLetter"/>
      <w:lvlText w:val="%7)"/>
      <w:lvlJc w:val="left"/>
      <w:pPr>
        <w:tabs>
          <w:tab w:val="num" w:pos="2880"/>
        </w:tabs>
        <w:ind w:left="2880" w:hanging="360"/>
      </w:pPr>
      <w:rPr/>
    </w:lvl>
    <w:lvl w:ilvl="7">
      <w:start w:val="1"/>
      <w:numFmt w:val="lowerLetter"/>
      <w:lvlText w:val="%8)"/>
      <w:lvlJc w:val="left"/>
      <w:pPr>
        <w:tabs>
          <w:tab w:val="num" w:pos="3240"/>
        </w:tabs>
        <w:ind w:left="3240" w:hanging="360"/>
      </w:pPr>
      <w:rPr/>
    </w:lvl>
    <w:lvl w:ilvl="8">
      <w:start w:val="1"/>
      <w:numFmt w:val="lowerLetter"/>
      <w:lvlText w:val="%9)"/>
      <w:lvlJc w:val="left"/>
      <w:pPr>
        <w:tabs>
          <w:tab w:val="num" w:pos="3600"/>
        </w:tabs>
        <w:ind w:left="3600" w:hanging="360"/>
      </w:pPr>
      <w:rPr/>
    </w:lvl>
  </w:abstractNum>
  <w:abstractNum w:abstractNumId="5">
    <w:lvl w:ilvl="0">
      <w:start w:val="1"/>
      <w:numFmt w:val="lowerLetter"/>
      <w:lvlText w:val="%1)"/>
      <w:lvlJc w:val="left"/>
      <w:pPr>
        <w:tabs>
          <w:tab w:val="num" w:pos="720"/>
        </w:tabs>
        <w:ind w:left="720" w:hanging="360"/>
      </w:pPr>
      <w:rPr/>
    </w:lvl>
    <w:lvl w:ilvl="1">
      <w:start w:val="1"/>
      <w:numFmt w:val="lowerLetter"/>
      <w:lvlText w:val="%2)"/>
      <w:lvlJc w:val="left"/>
      <w:pPr>
        <w:tabs>
          <w:tab w:val="num" w:pos="1080"/>
        </w:tabs>
        <w:ind w:left="1080" w:hanging="360"/>
      </w:pPr>
      <w:rPr/>
    </w:lvl>
    <w:lvl w:ilvl="2">
      <w:start w:val="1"/>
      <w:numFmt w:val="lowerLetter"/>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lowerLetter"/>
      <w:lvlText w:val="%5)"/>
      <w:lvlJc w:val="left"/>
      <w:pPr>
        <w:tabs>
          <w:tab w:val="num" w:pos="2160"/>
        </w:tabs>
        <w:ind w:left="2160" w:hanging="360"/>
      </w:pPr>
      <w:rPr/>
    </w:lvl>
    <w:lvl w:ilvl="5">
      <w:start w:val="1"/>
      <w:numFmt w:val="lowerLetter"/>
      <w:lvlText w:val="%6)"/>
      <w:lvlJc w:val="left"/>
      <w:pPr>
        <w:tabs>
          <w:tab w:val="num" w:pos="2520"/>
        </w:tabs>
        <w:ind w:left="2520" w:hanging="360"/>
      </w:pPr>
      <w:rPr/>
    </w:lvl>
    <w:lvl w:ilvl="6">
      <w:start w:val="1"/>
      <w:numFmt w:val="lowerLetter"/>
      <w:lvlText w:val="%7)"/>
      <w:lvlJc w:val="left"/>
      <w:pPr>
        <w:tabs>
          <w:tab w:val="num" w:pos="2880"/>
        </w:tabs>
        <w:ind w:left="2880" w:hanging="360"/>
      </w:pPr>
      <w:rPr/>
    </w:lvl>
    <w:lvl w:ilvl="7">
      <w:start w:val="1"/>
      <w:numFmt w:val="lowerLetter"/>
      <w:lvlText w:val="%8)"/>
      <w:lvlJc w:val="left"/>
      <w:pPr>
        <w:tabs>
          <w:tab w:val="num" w:pos="3240"/>
        </w:tabs>
        <w:ind w:left="3240" w:hanging="360"/>
      </w:pPr>
      <w:rPr/>
    </w:lvl>
    <w:lvl w:ilvl="8">
      <w:start w:val="1"/>
      <w:numFmt w:val="lowerLetter"/>
      <w:lvlText w:val="%9)"/>
      <w:lvlJc w:val="left"/>
      <w:pPr>
        <w:tabs>
          <w:tab w:val="num" w:pos="3600"/>
        </w:tabs>
        <w:ind w:left="3600" w:hanging="360"/>
      </w:pPr>
      <w:rPr/>
    </w:lvl>
  </w:abstractNum>
  <w:abstractNum w:abstractNumId="6">
    <w:lvl w:ilvl="0">
      <w:start w:val="1"/>
      <w:numFmt w:val="lowerLetter"/>
      <w:lvlText w:val="%1)"/>
      <w:lvlJc w:val="left"/>
      <w:pPr>
        <w:tabs>
          <w:tab w:val="num" w:pos="720"/>
        </w:tabs>
        <w:ind w:left="720" w:hanging="360"/>
      </w:pPr>
      <w:rPr/>
    </w:lvl>
    <w:lvl w:ilvl="1">
      <w:start w:val="1"/>
      <w:numFmt w:val="lowerLetter"/>
      <w:lvlText w:val="%2)"/>
      <w:lvlJc w:val="left"/>
      <w:pPr>
        <w:tabs>
          <w:tab w:val="num" w:pos="1080"/>
        </w:tabs>
        <w:ind w:left="1080" w:hanging="360"/>
      </w:pPr>
      <w:rPr/>
    </w:lvl>
    <w:lvl w:ilvl="2">
      <w:start w:val="1"/>
      <w:numFmt w:val="lowerLetter"/>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lowerLetter"/>
      <w:lvlText w:val="%5)"/>
      <w:lvlJc w:val="left"/>
      <w:pPr>
        <w:tabs>
          <w:tab w:val="num" w:pos="2160"/>
        </w:tabs>
        <w:ind w:left="2160" w:hanging="360"/>
      </w:pPr>
      <w:rPr/>
    </w:lvl>
    <w:lvl w:ilvl="5">
      <w:start w:val="1"/>
      <w:numFmt w:val="lowerLetter"/>
      <w:lvlText w:val="%6)"/>
      <w:lvlJc w:val="left"/>
      <w:pPr>
        <w:tabs>
          <w:tab w:val="num" w:pos="2520"/>
        </w:tabs>
        <w:ind w:left="2520" w:hanging="360"/>
      </w:pPr>
      <w:rPr/>
    </w:lvl>
    <w:lvl w:ilvl="6">
      <w:start w:val="1"/>
      <w:numFmt w:val="lowerLetter"/>
      <w:lvlText w:val="%7)"/>
      <w:lvlJc w:val="left"/>
      <w:pPr>
        <w:tabs>
          <w:tab w:val="num" w:pos="2880"/>
        </w:tabs>
        <w:ind w:left="2880" w:hanging="360"/>
      </w:pPr>
      <w:rPr/>
    </w:lvl>
    <w:lvl w:ilvl="7">
      <w:start w:val="1"/>
      <w:numFmt w:val="lowerLetter"/>
      <w:lvlText w:val="%8)"/>
      <w:lvlJc w:val="left"/>
      <w:pPr>
        <w:tabs>
          <w:tab w:val="num" w:pos="3240"/>
        </w:tabs>
        <w:ind w:left="3240" w:hanging="360"/>
      </w:pPr>
      <w:rPr/>
    </w:lvl>
    <w:lvl w:ilvl="8">
      <w:start w:val="1"/>
      <w:numFmt w:val="lowerLetter"/>
      <w:lvlText w:val="%9)"/>
      <w:lvlJc w:val="left"/>
      <w:pPr>
        <w:tabs>
          <w:tab w:val="num" w:pos="3600"/>
        </w:tabs>
        <w:ind w:left="3600" w:hanging="360"/>
      </w:pPr>
      <w:rPr/>
    </w:lvl>
  </w:abstractNum>
  <w:abstractNum w:abstractNumId="7">
    <w:lvl w:ilvl="0">
      <w:start w:val="1"/>
      <w:numFmt w:val="lowerLetter"/>
      <w:lvlText w:val="%1)"/>
      <w:lvlJc w:val="left"/>
      <w:pPr>
        <w:tabs>
          <w:tab w:val="num" w:pos="720"/>
        </w:tabs>
        <w:ind w:left="720" w:hanging="360"/>
      </w:pPr>
      <w:rPr/>
    </w:lvl>
    <w:lvl w:ilvl="1">
      <w:start w:val="1"/>
      <w:numFmt w:val="lowerLetter"/>
      <w:lvlText w:val="%2)"/>
      <w:lvlJc w:val="left"/>
      <w:pPr>
        <w:tabs>
          <w:tab w:val="num" w:pos="1080"/>
        </w:tabs>
        <w:ind w:left="1080" w:hanging="360"/>
      </w:pPr>
      <w:rPr/>
    </w:lvl>
    <w:lvl w:ilvl="2">
      <w:start w:val="1"/>
      <w:numFmt w:val="lowerLetter"/>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lowerLetter"/>
      <w:lvlText w:val="%5)"/>
      <w:lvlJc w:val="left"/>
      <w:pPr>
        <w:tabs>
          <w:tab w:val="num" w:pos="2160"/>
        </w:tabs>
        <w:ind w:left="2160" w:hanging="360"/>
      </w:pPr>
      <w:rPr/>
    </w:lvl>
    <w:lvl w:ilvl="5">
      <w:start w:val="1"/>
      <w:numFmt w:val="lowerLetter"/>
      <w:lvlText w:val="%6)"/>
      <w:lvlJc w:val="left"/>
      <w:pPr>
        <w:tabs>
          <w:tab w:val="num" w:pos="2520"/>
        </w:tabs>
        <w:ind w:left="2520" w:hanging="360"/>
      </w:pPr>
      <w:rPr/>
    </w:lvl>
    <w:lvl w:ilvl="6">
      <w:start w:val="1"/>
      <w:numFmt w:val="lowerLetter"/>
      <w:lvlText w:val="%7)"/>
      <w:lvlJc w:val="left"/>
      <w:pPr>
        <w:tabs>
          <w:tab w:val="num" w:pos="2880"/>
        </w:tabs>
        <w:ind w:left="2880" w:hanging="360"/>
      </w:pPr>
      <w:rPr/>
    </w:lvl>
    <w:lvl w:ilvl="7">
      <w:start w:val="1"/>
      <w:numFmt w:val="lowerLetter"/>
      <w:lvlText w:val="%8)"/>
      <w:lvlJc w:val="left"/>
      <w:pPr>
        <w:tabs>
          <w:tab w:val="num" w:pos="3240"/>
        </w:tabs>
        <w:ind w:left="3240" w:hanging="360"/>
      </w:pPr>
      <w:rPr/>
    </w:lvl>
    <w:lvl w:ilvl="8">
      <w:start w:val="1"/>
      <w:numFmt w:val="lowerLetter"/>
      <w:lvlText w:val="%9)"/>
      <w:lvlJc w:val="left"/>
      <w:pPr>
        <w:tabs>
          <w:tab w:val="num" w:pos="3600"/>
        </w:tabs>
        <w:ind w:left="3600" w:hanging="360"/>
      </w:pPr>
      <w:rPr/>
    </w:lvl>
  </w:abstractNum>
  <w:abstractNum w:abstractNumId="8">
    <w:lvl w:ilvl="0">
      <w:start w:val="1"/>
      <w:numFmt w:val="lowerLetter"/>
      <w:lvlText w:val="%1)"/>
      <w:lvlJc w:val="left"/>
      <w:pPr>
        <w:tabs>
          <w:tab w:val="num" w:pos="720"/>
        </w:tabs>
        <w:ind w:left="720" w:hanging="360"/>
      </w:pPr>
      <w:rPr/>
    </w:lvl>
    <w:lvl w:ilvl="1">
      <w:start w:val="1"/>
      <w:numFmt w:val="lowerLetter"/>
      <w:lvlText w:val="%2)"/>
      <w:lvlJc w:val="left"/>
      <w:pPr>
        <w:tabs>
          <w:tab w:val="num" w:pos="1080"/>
        </w:tabs>
        <w:ind w:left="1080" w:hanging="360"/>
      </w:pPr>
      <w:rPr/>
    </w:lvl>
    <w:lvl w:ilvl="2">
      <w:start w:val="1"/>
      <w:numFmt w:val="lowerLetter"/>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lowerLetter"/>
      <w:lvlText w:val="%5)"/>
      <w:lvlJc w:val="left"/>
      <w:pPr>
        <w:tabs>
          <w:tab w:val="num" w:pos="2160"/>
        </w:tabs>
        <w:ind w:left="2160" w:hanging="360"/>
      </w:pPr>
      <w:rPr/>
    </w:lvl>
    <w:lvl w:ilvl="5">
      <w:start w:val="1"/>
      <w:numFmt w:val="lowerLetter"/>
      <w:lvlText w:val="%6)"/>
      <w:lvlJc w:val="left"/>
      <w:pPr>
        <w:tabs>
          <w:tab w:val="num" w:pos="2520"/>
        </w:tabs>
        <w:ind w:left="2520" w:hanging="360"/>
      </w:pPr>
      <w:rPr/>
    </w:lvl>
    <w:lvl w:ilvl="6">
      <w:start w:val="1"/>
      <w:numFmt w:val="lowerLetter"/>
      <w:lvlText w:val="%7)"/>
      <w:lvlJc w:val="left"/>
      <w:pPr>
        <w:tabs>
          <w:tab w:val="num" w:pos="2880"/>
        </w:tabs>
        <w:ind w:left="2880" w:hanging="360"/>
      </w:pPr>
      <w:rPr/>
    </w:lvl>
    <w:lvl w:ilvl="7">
      <w:start w:val="1"/>
      <w:numFmt w:val="lowerLetter"/>
      <w:lvlText w:val="%8)"/>
      <w:lvlJc w:val="left"/>
      <w:pPr>
        <w:tabs>
          <w:tab w:val="num" w:pos="3240"/>
        </w:tabs>
        <w:ind w:left="3240" w:hanging="360"/>
      </w:pPr>
      <w:rPr/>
    </w:lvl>
    <w:lvl w:ilvl="8">
      <w:start w:val="1"/>
      <w:numFmt w:val="lowerLetter"/>
      <w:lvlText w:val="%9)"/>
      <w:lvlJc w:val="left"/>
      <w:pPr>
        <w:tabs>
          <w:tab w:val="num" w:pos="3600"/>
        </w:tabs>
        <w:ind w:left="360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pt-BR" w:eastAsia="pt-BR" w:bidi="ar-SA"/>
      </w:rPr>
    </w:rPrDefault>
    <w:pPrDefault>
      <w:pPr>
        <w:suppressAutoHyphens w:val="true"/>
      </w:pPr>
    </w:pPrDefault>
  </w:docDefaults>
  <w:style w:type="paragraph" w:styleId="Normal">
    <w:name w:val="Normal"/>
    <w:qFormat/>
    <w:pPr>
      <w:widowControl/>
      <w:suppressAutoHyphens w:val="true"/>
      <w:overflowPunct w:val="false"/>
      <w:bidi w:val="0"/>
      <w:spacing w:lineRule="auto" w:line="276" w:before="0" w:after="200"/>
      <w:jc w:val="left"/>
    </w:pPr>
    <w:rPr>
      <w:rFonts w:ascii="Calibri" w:hAnsi="Calibri" w:eastAsia="Calibri" w:cs="Times New Roman"/>
      <w:color w:val="auto"/>
      <w:kern w:val="0"/>
      <w:sz w:val="22"/>
      <w:szCs w:val="22"/>
      <w:lang w:val="pt-BR" w:eastAsia="en-US" w:bidi="ar-SA"/>
    </w:rPr>
  </w:style>
  <w:style w:type="paragraph" w:styleId="Heading1">
    <w:name w:val="Heading 1"/>
    <w:basedOn w:val="Normal"/>
    <w:next w:val="Normal"/>
    <w:link w:val="Ttulo1Char"/>
    <w:qFormat/>
    <w:pPr>
      <w:keepNext w:val="true"/>
      <w:keepLines/>
      <w:numPr>
        <w:ilvl w:val="0"/>
        <w:numId w:val="1"/>
      </w:numPr>
      <w:spacing w:before="480" w:after="0"/>
      <w:outlineLvl w:val="0"/>
    </w:pPr>
    <w:rPr>
      <w:rFonts w:eastAsia="MS Gothic"/>
      <w:b/>
      <w:bCs/>
      <w:color w:val="365F91"/>
      <w:sz w:val="28"/>
      <w:szCs w:val="28"/>
      <w:lang w:eastAsia="zh-CN"/>
    </w:rPr>
  </w:style>
  <w:style w:type="paragraph" w:styleId="Heading2">
    <w:name w:val="Heading 2"/>
    <w:basedOn w:val="LO-normal"/>
    <w:next w:val="LO-normal"/>
    <w:qFormat/>
    <w:pPr>
      <w:keepNext w:val="true"/>
      <w:keepLines/>
      <w:spacing w:lineRule="auto" w:line="360" w:before="240" w:after="240"/>
      <w:jc w:val="both"/>
    </w:pPr>
    <w:rPr>
      <w:b/>
    </w:rPr>
  </w:style>
  <w:style w:type="paragraph" w:styleId="Heading3">
    <w:name w:val="Heading 3"/>
    <w:basedOn w:val="LO-normal"/>
    <w:next w:val="LO-normal"/>
    <w:qFormat/>
    <w:pPr>
      <w:keepNext w:val="true"/>
      <w:keepLines/>
    </w:pPr>
    <w:rPr>
      <w:i/>
    </w:rPr>
  </w:style>
  <w:style w:type="paragraph" w:styleId="Heading6">
    <w:name w:val="Heading 6"/>
    <w:basedOn w:val="Normal"/>
    <w:next w:val="Normal"/>
    <w:link w:val="Ttulo6Char"/>
    <w:qFormat/>
    <w:pPr>
      <w:numPr>
        <w:ilvl w:val="0"/>
        <w:numId w:val="0"/>
      </w:numPr>
      <w:overflowPunct w:val="false"/>
      <w:spacing w:lineRule="auto" w:line="240" w:before="240" w:after="60"/>
      <w:textAlignment w:val="baseline"/>
      <w:outlineLvl w:val="5"/>
    </w:pPr>
    <w:rPr>
      <w:rFonts w:ascii="Times New Roman" w:hAnsi="Times New Roman" w:eastAsia="Times New Roman"/>
      <w:b/>
      <w:bCs/>
      <w:lang w:eastAsia="pt-BR"/>
    </w:rPr>
  </w:style>
  <w:style w:type="character" w:styleId="DefaultParagraphFont">
    <w:name w:val="Default Paragraph Font"/>
    <w:qFormat/>
    <w:rPr/>
  </w:style>
  <w:style w:type="character" w:styleId="CabealhoChar">
    <w:name w:val="Cabeçalho Char"/>
    <w:basedOn w:val="DefaultParagraphFont"/>
    <w:qFormat/>
    <w:rPr/>
  </w:style>
  <w:style w:type="character" w:styleId="RodapChar">
    <w:name w:val="Rodapé Char"/>
    <w:basedOn w:val="DefaultParagraphFont"/>
    <w:qFormat/>
    <w:rPr/>
  </w:style>
  <w:style w:type="character" w:styleId="TextodebaloChar">
    <w:name w:val="Texto de balão Char"/>
    <w:link w:val="BalloonText"/>
    <w:qFormat/>
    <w:rPr>
      <w:rFonts w:ascii="Tahoma" w:hAnsi="Tahoma" w:cs="Tahoma"/>
      <w:sz w:val="16"/>
      <w:szCs w:val="16"/>
    </w:rPr>
  </w:style>
  <w:style w:type="character" w:styleId="SemEspaamentoChar">
    <w:name w:val="Sem Espaçamento Char"/>
    <w:link w:val="NoSpacing"/>
    <w:qFormat/>
    <w:rPr>
      <w:rFonts w:eastAsia="Times New Roman"/>
      <w:lang w:eastAsia="pt-BR"/>
    </w:rPr>
  </w:style>
  <w:style w:type="character" w:styleId="InternetLink">
    <w:name w:val="Internet Link"/>
    <w:qFormat/>
    <w:rPr>
      <w:color w:val="0563C1"/>
      <w:u w:val="single"/>
    </w:rPr>
  </w:style>
  <w:style w:type="character" w:styleId="TtuloChar">
    <w:name w:val="Título Char"/>
    <w:qFormat/>
    <w:rPr>
      <w:rFonts w:ascii="Times New Roman" w:hAnsi="Times New Roman" w:eastAsia="Times New Roman"/>
      <w:b/>
      <w:bCs/>
      <w:sz w:val="28"/>
      <w:szCs w:val="24"/>
    </w:rPr>
  </w:style>
  <w:style w:type="character" w:styleId="Corpodetexto3Char">
    <w:name w:val="Corpo de texto 3 Char"/>
    <w:basedOn w:val="DefaultParagraphFont"/>
    <w:link w:val="BodyText3"/>
    <w:qFormat/>
    <w:rPr>
      <w:rFonts w:ascii="Arial" w:hAnsi="Arial" w:eastAsia="Times New Roman" w:cs="Arial"/>
      <w:sz w:val="22"/>
      <w:lang w:eastAsia="en-US"/>
    </w:rPr>
  </w:style>
  <w:style w:type="character" w:styleId="Corpodetexto2Char">
    <w:name w:val="Corpo de texto 2 Char"/>
    <w:basedOn w:val="DefaultParagraphFont"/>
    <w:link w:val="BodyText2"/>
    <w:qFormat/>
    <w:rPr>
      <w:rFonts w:ascii="Arial" w:hAnsi="Arial" w:eastAsia="Times New Roman" w:cs="Arial"/>
      <w:b/>
      <w:sz w:val="22"/>
      <w:lang w:eastAsia="en-US"/>
    </w:rPr>
  </w:style>
  <w:style w:type="character" w:styleId="Recuodecorpodetexto3Char">
    <w:name w:val="Recuo de corpo de texto 3 Char"/>
    <w:basedOn w:val="DefaultParagraphFont"/>
    <w:link w:val="BodyTextIndent3"/>
    <w:qFormat/>
    <w:rPr>
      <w:rFonts w:ascii="Times New Roman" w:hAnsi="Times New Roman" w:eastAsia="Times New Roman"/>
      <w:sz w:val="16"/>
      <w:szCs w:val="16"/>
    </w:rPr>
  </w:style>
  <w:style w:type="character" w:styleId="CorpodetextoChar">
    <w:name w:val="Corpo de texto Char"/>
    <w:basedOn w:val="DefaultParagraphFont"/>
    <w:link w:val="Textbody"/>
    <w:qFormat/>
    <w:rPr>
      <w:rFonts w:eastAsia="Times New Roman"/>
      <w:sz w:val="22"/>
      <w:szCs w:val="22"/>
    </w:rPr>
  </w:style>
  <w:style w:type="character" w:styleId="fontstyle01">
    <w:name w:val="fontstyle01"/>
    <w:basedOn w:val="DefaultParagraphFont"/>
    <w:qFormat/>
    <w:rPr>
      <w:rFonts w:ascii="Arial" w:hAnsi="Arial" w:cs="Arial"/>
      <w:b/>
      <w:bCs/>
      <w:i w:val="false"/>
      <w:iCs w:val="false"/>
      <w:color w:val="000000"/>
      <w:sz w:val="24"/>
      <w:szCs w:val="24"/>
    </w:rPr>
  </w:style>
  <w:style w:type="character" w:styleId="fontstyle21">
    <w:name w:val="fontstyle21"/>
    <w:basedOn w:val="DefaultParagraphFont"/>
    <w:qFormat/>
    <w:rPr>
      <w:rFonts w:ascii="Arial" w:hAnsi="Arial" w:cs="Arial"/>
      <w:b w:val="false"/>
      <w:bCs w:val="false"/>
      <w:i w:val="false"/>
      <w:iCs w:val="false"/>
      <w:color w:val="000000"/>
      <w:sz w:val="24"/>
      <w:szCs w:val="24"/>
    </w:rPr>
  </w:style>
  <w:style w:type="character" w:styleId="WW8Num3z1">
    <w:name w:val="WW8Num3z1"/>
    <w:qFormat/>
    <w:rPr>
      <w:rFonts w:ascii="Symbol" w:hAnsi="Symbol" w:cs="Symbol"/>
    </w:rPr>
  </w:style>
  <w:style w:type="character" w:styleId="UnresolvedMention">
    <w:name w:val="Unresolved Mention"/>
    <w:basedOn w:val="DefaultParagraphFont"/>
    <w:qFormat/>
    <w:rPr>
      <w:color w:val="605E5C"/>
      <w:shd w:fill="E1DFDD" w:val="clear"/>
    </w:rPr>
  </w:style>
  <w:style w:type="character" w:styleId="annotationreference">
    <w:name w:val="annotation reference"/>
    <w:basedOn w:val="DefaultParagraphFont"/>
    <w:qFormat/>
    <w:rPr>
      <w:sz w:val="16"/>
      <w:szCs w:val="16"/>
    </w:rPr>
  </w:style>
  <w:style w:type="character" w:styleId="TextodecomentrioChar">
    <w:name w:val="Texto de comentário Char"/>
    <w:basedOn w:val="DefaultParagraphFont"/>
    <w:qFormat/>
    <w:rPr>
      <w:lang w:eastAsia="en-US"/>
    </w:rPr>
  </w:style>
  <w:style w:type="character" w:styleId="AssuntodocomentrioChar">
    <w:name w:val="Assunto do comentário Char"/>
    <w:basedOn w:val="TextodecomentrioChar"/>
    <w:link w:val="annotationsubject"/>
    <w:qFormat/>
    <w:rPr>
      <w:b/>
      <w:bCs/>
      <w:lang w:eastAsia="en-US"/>
    </w:rPr>
  </w:style>
  <w:style w:type="character" w:styleId="Ttulo1Char">
    <w:name w:val="Título 1 Char"/>
    <w:basedOn w:val="DefaultParagraphFont"/>
    <w:qFormat/>
    <w:rPr>
      <w:rFonts w:eastAsia="MS Gothic"/>
      <w:b/>
      <w:bCs/>
      <w:color w:val="365F91"/>
      <w:sz w:val="28"/>
      <w:szCs w:val="28"/>
      <w:lang w:eastAsia="zh-CN"/>
    </w:rPr>
  </w:style>
  <w:style w:type="character" w:styleId="WW8Num3z0">
    <w:name w:val="WW8Num3z0"/>
    <w:qFormat/>
    <w:rPr>
      <w:b/>
    </w:rPr>
  </w:style>
  <w:style w:type="character" w:styleId="WW8Num3z2">
    <w:name w:val="WW8Num3z2"/>
    <w:qFormat/>
    <w:rPr>
      <w:b w:val="false"/>
      <w:i w:val="false"/>
      <w:strike w:val="false"/>
      <w:dstrike w:val="false"/>
      <w:color w:val="auto"/>
      <w:sz w:val="20"/>
      <w:szCs w:val="20"/>
    </w:rPr>
  </w:style>
  <w:style w:type="character" w:styleId="WW8Num4z0">
    <w:name w:val="WW8Num4z0"/>
    <w:qFormat/>
    <w:rPr>
      <w:rFonts w:ascii="Symbol" w:hAnsi="Symbol" w:cs="Symbol"/>
      <w:lang w:val="pt-PT" w:eastAsia="en-US" w:bidi="ar-SA"/>
    </w:rPr>
  </w:style>
  <w:style w:type="character" w:styleId="WW8Num4z1">
    <w:name w:val="WW8Num4z1"/>
    <w:qFormat/>
    <w:rPr>
      <w:rFonts w:ascii="OpenSymbol" w:hAnsi="OpenSymbol" w:cs="OpenSymbol"/>
      <w:lang w:val="pt-PT" w:eastAsia="en-US" w:bidi="ar-SA"/>
    </w:rPr>
  </w:style>
  <w:style w:type="character" w:styleId="WW8Num4z3">
    <w:name w:val="WW8Num4z3"/>
    <w:qFormat/>
    <w:rPr>
      <w:rFonts w:ascii="Symbol" w:hAnsi="Symbol" w:cs="Symbol"/>
    </w:rPr>
  </w:style>
  <w:style w:type="character" w:styleId="WW8Num4z4">
    <w:name w:val="WW8Num4z4"/>
    <w:qFormat/>
    <w:rPr>
      <w:rFonts w:ascii="OpenSymbol" w:hAnsi="OpenSymbol" w:cs="OpenSymbol"/>
    </w:rPr>
  </w:style>
  <w:style w:type="character" w:styleId="WW8Num4z7">
    <w:name w:val="WW8Num4z7"/>
    <w:qFormat/>
    <w:rPr>
      <w:rFonts w:ascii="OpenSymbol" w:hAnsi="OpenSymbol" w:cs="OpenSymbol"/>
      <w:b/>
    </w:rPr>
  </w:style>
  <w:style w:type="character" w:styleId="WW8Num4z8">
    <w:name w:val="WW8Num4z8"/>
    <w:qFormat/>
    <w:rPr>
      <w:rFonts w:ascii="OpenSymbol" w:hAnsi="OpenSymbol" w:cs="OpenSymbol"/>
      <w:b/>
      <w:i w:val="false"/>
      <w:strike w:val="false"/>
      <w:dstrike w:val="false"/>
      <w:color w:val="auto"/>
      <w:sz w:val="24"/>
      <w:szCs w:val="20"/>
      <w:u w:val="none"/>
    </w:rPr>
  </w:style>
  <w:style w:type="character" w:styleId="WW8Num5z0">
    <w:name w:val="WW8Num5z0"/>
    <w:qFormat/>
    <w:rPr>
      <w:rFonts w:ascii="Symbol" w:hAnsi="Symbol" w:cs="Symbol"/>
      <w:b w:val="false"/>
      <w:i w:val="false"/>
      <w:strike w:val="false"/>
      <w:dstrike w:val="false"/>
      <w:color w:val="auto"/>
      <w:sz w:val="20"/>
      <w:szCs w:val="20"/>
    </w:rPr>
  </w:style>
  <w:style w:type="character" w:styleId="WW8Num5z1">
    <w:name w:val="WW8Num5z1"/>
    <w:qFormat/>
    <w:rPr>
      <w:rFonts w:ascii="OpenSymbol" w:hAnsi="OpenSymbol" w:cs="OpenSymbol"/>
    </w:rPr>
  </w:style>
  <w:style w:type="character" w:styleId="WW8Num5z3">
    <w:name w:val="WW8Num5z3"/>
    <w:qFormat/>
    <w:rPr>
      <w:rFonts w:ascii="Symbol" w:hAnsi="Symbol" w:cs="Symbol"/>
    </w:rPr>
  </w:style>
  <w:style w:type="character" w:styleId="WW8Num5z4">
    <w:name w:val="WW8Num5z4"/>
    <w:qFormat/>
    <w:rPr>
      <w:rFonts w:ascii="OpenSymbol" w:hAnsi="OpenSymbol" w:cs="OpenSymbol"/>
      <w:b/>
    </w:rPr>
  </w:style>
  <w:style w:type="character" w:styleId="WW8Num5z5">
    <w:name w:val="WW8Num5z5"/>
    <w:qFormat/>
    <w:rPr>
      <w:rFonts w:ascii="OpenSymbol" w:hAnsi="OpenSymbol" w:cs="OpenSymbol"/>
      <w:b w:val="false"/>
      <w:i w:val="false"/>
      <w:strike w:val="false"/>
      <w:dstrike w:val="false"/>
      <w:color w:val="auto"/>
      <w:sz w:val="20"/>
      <w:szCs w:val="20"/>
      <w:u w:val="none"/>
    </w:rPr>
  </w:style>
  <w:style w:type="character" w:styleId="WW8Num6z0">
    <w:name w:val="WW8Num6z0"/>
    <w:qFormat/>
    <w:rPr>
      <w:rFonts w:ascii="Symbol" w:hAnsi="Symbol" w:cs="Symbol"/>
    </w:rPr>
  </w:style>
  <w:style w:type="character" w:styleId="WW8Num6z1">
    <w:name w:val="WW8Num6z1"/>
    <w:qFormat/>
    <w:rPr>
      <w:rFonts w:ascii="OpenSymbol" w:hAnsi="OpenSymbol" w:cs="OpenSymbol"/>
    </w:rPr>
  </w:style>
  <w:style w:type="character" w:styleId="WW8Num7z0">
    <w:name w:val="WW8Num7z0"/>
    <w:qFormat/>
    <w:rPr>
      <w:rFonts w:ascii="Symbol" w:hAnsi="Symbol" w:cs="Symbol"/>
    </w:rPr>
  </w:style>
  <w:style w:type="character" w:styleId="WW8Num7z1">
    <w:name w:val="WW8Num7z1"/>
    <w:qFormat/>
    <w:rPr>
      <w:rFonts w:ascii="OpenSymbol" w:hAnsi="OpenSymbol" w:cs="OpenSymbol"/>
    </w:rPr>
  </w:style>
  <w:style w:type="character" w:styleId="Fontepargpadro4">
    <w:name w:val="Fonte parág. padrão4"/>
    <w:qFormat/>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2">
    <w:name w:val="WW8Num4z2"/>
    <w:qFormat/>
    <w:rPr/>
  </w:style>
  <w:style w:type="character" w:styleId="WW8Num4z5">
    <w:name w:val="WW8Num4z5"/>
    <w:qFormat/>
    <w:rPr/>
  </w:style>
  <w:style w:type="character" w:styleId="WW8Num4z6">
    <w:name w:val="WW8Num4z6"/>
    <w:qFormat/>
    <w:rPr/>
  </w:style>
  <w:style w:type="character" w:styleId="Fontepargpadro3">
    <w:name w:val="Fonte parág. padrão3"/>
    <w:qFormat/>
    <w:rPr/>
  </w:style>
  <w:style w:type="character" w:styleId="WW8Num5z2">
    <w:name w:val="WW8Num5z2"/>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7z2">
    <w:name w:val="WW8Num7z2"/>
    <w:qFormat/>
    <w:rPr>
      <w:b w:val="false"/>
      <w:i w:val="false"/>
      <w:strike w:val="false"/>
      <w:dstrike w:val="false"/>
      <w:color w:val="000000"/>
      <w:sz w:val="20"/>
      <w:szCs w:val="20"/>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St7z0">
    <w:name w:val="WW8NumSt7z0"/>
    <w:qFormat/>
    <w:rPr>
      <w:b/>
      <w:i w:val="false"/>
      <w:strike w:val="false"/>
      <w:dstrike w:val="false"/>
      <w:color w:val="000000"/>
      <w:sz w:val="24"/>
      <w:szCs w:val="20"/>
      <w:u w:val="none"/>
    </w:rPr>
  </w:style>
  <w:style w:type="character" w:styleId="WW8NumSt8z0">
    <w:name w:val="WW8NumSt8z0"/>
    <w:qFormat/>
    <w:rPr>
      <w:b/>
      <w:i w:val="false"/>
      <w:strike w:val="false"/>
      <w:dstrike w:val="false"/>
      <w:color w:val="000000"/>
      <w:sz w:val="24"/>
      <w:szCs w:val="20"/>
      <w:u w:val="none"/>
    </w:rPr>
  </w:style>
  <w:style w:type="character" w:styleId="WW8NumSt9z0">
    <w:name w:val="WW8NumSt9z0"/>
    <w:qFormat/>
    <w:rPr>
      <w:b/>
      <w:i w:val="false"/>
      <w:strike w:val="false"/>
      <w:dstrike w:val="false"/>
      <w:color w:val="000000"/>
      <w:sz w:val="24"/>
      <w:szCs w:val="20"/>
      <w:u w:val="none"/>
    </w:rPr>
  </w:style>
  <w:style w:type="character" w:styleId="WW8NumSt10z0">
    <w:name w:val="WW8NumSt10z0"/>
    <w:qFormat/>
    <w:rPr>
      <w:b/>
      <w:i w:val="false"/>
      <w:strike w:val="false"/>
      <w:dstrike w:val="false"/>
      <w:color w:val="000000"/>
      <w:sz w:val="24"/>
      <w:szCs w:val="20"/>
      <w:u w:val="none"/>
    </w:rPr>
  </w:style>
  <w:style w:type="character" w:styleId="WW8NumSt11z0">
    <w:name w:val="WW8NumSt11z0"/>
    <w:qFormat/>
    <w:rPr>
      <w:b/>
      <w:i w:val="false"/>
      <w:strike w:val="false"/>
      <w:dstrike w:val="false"/>
      <w:color w:val="000000"/>
      <w:sz w:val="24"/>
      <w:szCs w:val="20"/>
      <w:u w:val="none"/>
    </w:rPr>
  </w:style>
  <w:style w:type="character" w:styleId="WW8NumSt12z0">
    <w:name w:val="WW8NumSt12z0"/>
    <w:qFormat/>
    <w:rPr>
      <w:b/>
      <w:i w:val="false"/>
      <w:strike w:val="false"/>
      <w:dstrike w:val="false"/>
      <w:color w:val="000000"/>
      <w:sz w:val="24"/>
      <w:szCs w:val="20"/>
      <w:u w:val="none"/>
    </w:rPr>
  </w:style>
  <w:style w:type="character" w:styleId="WW8NumSt13z0">
    <w:name w:val="WW8NumSt13z0"/>
    <w:qFormat/>
    <w:rPr>
      <w:b/>
      <w:i w:val="false"/>
      <w:strike w:val="false"/>
      <w:dstrike w:val="false"/>
      <w:color w:val="000000"/>
      <w:sz w:val="24"/>
      <w:szCs w:val="20"/>
      <w:u w:val="none"/>
    </w:rPr>
  </w:style>
  <w:style w:type="character" w:styleId="WW8NumSt14z0">
    <w:name w:val="WW8NumSt14z0"/>
    <w:qFormat/>
    <w:rPr>
      <w:b/>
      <w:i w:val="false"/>
      <w:strike w:val="false"/>
      <w:dstrike w:val="false"/>
      <w:color w:val="000000"/>
      <w:sz w:val="24"/>
      <w:szCs w:val="20"/>
      <w:u w:val="none"/>
    </w:rPr>
  </w:style>
  <w:style w:type="character" w:styleId="WW8NumSt15z0">
    <w:name w:val="WW8NumSt15z0"/>
    <w:qFormat/>
    <w:rPr>
      <w:b/>
      <w:i w:val="false"/>
      <w:strike w:val="false"/>
      <w:dstrike w:val="false"/>
      <w:color w:val="000000"/>
      <w:sz w:val="24"/>
      <w:szCs w:val="20"/>
      <w:u w:val="none"/>
    </w:rPr>
  </w:style>
  <w:style w:type="character" w:styleId="Fontepargpadro2">
    <w:name w:val="Fonte parág. padrão2"/>
    <w:qFormat/>
    <w:rPr/>
  </w:style>
  <w:style w:type="character" w:styleId="Fontepargpadro1">
    <w:name w:val="Fonte parág. padrão1"/>
    <w:qFormat/>
    <w:rPr/>
  </w:style>
  <w:style w:type="character" w:styleId="Fontepargpadro5">
    <w:name w:val="Fonte parág. padrão5"/>
    <w:qFormat/>
    <w:rPr/>
  </w:style>
  <w:style w:type="character" w:styleId="FollowedHyperlink">
    <w:name w:val="FollowedHyperlink"/>
    <w:rPr>
      <w:color w:val="800080"/>
      <w:u w:val="single"/>
    </w:rPr>
  </w:style>
  <w:style w:type="character" w:styleId="Nivel2Char">
    <w:name w:val="Nivel 2 Char"/>
    <w:qFormat/>
    <w:rPr>
      <w:rFonts w:ascii="Arial" w:hAnsi="Arial" w:eastAsia="Arial" w:cs="Arial"/>
      <w:color w:val="000000"/>
      <w:lang w:eastAsia="zh-CN"/>
    </w:rPr>
  </w:style>
  <w:style w:type="character" w:styleId="Refdecomentrio1">
    <w:name w:val="Ref. de comentário1"/>
    <w:qFormat/>
    <w:rPr>
      <w:sz w:val="16"/>
      <w:szCs w:val="16"/>
    </w:rPr>
  </w:style>
  <w:style w:type="character" w:styleId="Refdecomentrio2">
    <w:name w:val="Ref. de comentário2"/>
    <w:qFormat/>
    <w:rPr>
      <w:sz w:val="16"/>
      <w:szCs w:val="16"/>
    </w:rPr>
  </w:style>
  <w:style w:type="character" w:styleId="TextodecomentrioChar1">
    <w:name w:val="Texto de comentário Char1"/>
    <w:qFormat/>
    <w:rPr>
      <w:rFonts w:ascii="Calibri" w:hAnsi="Calibri" w:eastAsia="Calibri" w:cs="Calibri"/>
      <w:lang w:eastAsia="zh-CN"/>
    </w:rPr>
  </w:style>
  <w:style w:type="character" w:styleId="Refdecomentrio3">
    <w:name w:val="Ref. de comentário3"/>
    <w:qFormat/>
    <w:rPr>
      <w:sz w:val="16"/>
      <w:szCs w:val="16"/>
    </w:rPr>
  </w:style>
  <w:style w:type="character" w:styleId="TextodecomentrioChar2">
    <w:name w:val="Texto de comentário Char2"/>
    <w:qFormat/>
    <w:rPr>
      <w:rFonts w:ascii="Calibri" w:hAnsi="Calibri" w:eastAsia="Calibri" w:cs="Calibri"/>
      <w:lang w:eastAsia="zh-CN"/>
    </w:rPr>
  </w:style>
  <w:style w:type="character" w:styleId="Ttulo6Char">
    <w:name w:val="Título 6 Char"/>
    <w:basedOn w:val="DefaultParagraphFont"/>
    <w:qFormat/>
    <w:rPr>
      <w:rFonts w:ascii="Times New Roman" w:hAnsi="Times New Roman" w:eastAsia="Times New Roman"/>
      <w:b/>
      <w:bCs/>
      <w:sz w:val="22"/>
      <w:szCs w:val="22"/>
    </w:rPr>
  </w:style>
  <w:style w:type="character" w:styleId="apple-converted-space">
    <w:name w:val="apple-converted-space"/>
    <w:qFormat/>
    <w:rPr/>
  </w:style>
  <w:style w:type="character" w:styleId="Character20style">
    <w:name w:val="Character_20_style"/>
    <w:qFormat/>
    <w:rPr/>
  </w:style>
  <w:style w:type="character" w:styleId="RecuodecorpodetextoChar">
    <w:name w:val="Recuo de corpo de texto Char"/>
    <w:basedOn w:val="DefaultParagraphFont"/>
    <w:link w:val="BodyTextIndented"/>
    <w:qFormat/>
    <w:rPr>
      <w:rFonts w:ascii="Times New Roman" w:hAnsi="Times New Roman" w:eastAsia="Times New Roman"/>
      <w:sz w:val="28"/>
    </w:rPr>
  </w:style>
  <w:style w:type="character" w:styleId="Ttulo2Char">
    <w:name w:val="Título 2 Char"/>
    <w:qFormat/>
    <w:rPr>
      <w:rFonts w:ascii="Times New Roman" w:hAnsi="Times New Roman" w:eastAsia="Times New Roman" w:cs="Times New Roman"/>
      <w:color w:val="000000"/>
      <w:sz w:val="36"/>
    </w:rPr>
  </w:style>
  <w:style w:type="character" w:styleId="Marcadores">
    <w:name w:val="Marcadores"/>
    <w:qFormat/>
    <w:rPr>
      <w:rFonts w:ascii="OpenSymbol" w:hAnsi="OpenSymbol" w:eastAsia="OpenSymbol" w:cs="OpenSymbol"/>
    </w:rPr>
  </w:style>
  <w:style w:type="character" w:styleId="Smbolosdenumerao">
    <w:name w:val="Símbolos de numeração"/>
    <w:qFormat/>
    <w:rPr/>
  </w:style>
  <w:style w:type="character" w:styleId="RecuodecorpodetextoChar1">
    <w:name w:val="Recuo de corpo de texto Char1"/>
    <w:basedOn w:val="DefaultParagraphFont"/>
    <w:qFormat/>
    <w:rPr>
      <w:sz w:val="22"/>
      <w:szCs w:val="22"/>
      <w:lang w:eastAsia="en-US"/>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Hyperlink1">
    <w:name w:val="Hyperlink1"/>
    <w:qFormat/>
    <w:rPr>
      <w:color w:val="000080"/>
      <w:u w:val="single"/>
    </w:rPr>
  </w:style>
  <w:style w:type="character" w:styleId="WW8Num10z0">
    <w:name w:val="WW8Num10z0"/>
    <w:qFormat/>
    <w:rPr>
      <w:b/>
      <w:bCs/>
    </w:rPr>
  </w:style>
  <w:style w:type="character" w:styleId="WW8Num9z0">
    <w:name w:val="WW8Num9z0"/>
    <w:qFormat/>
    <w:rPr>
      <w:b/>
      <w:bCs/>
    </w:rPr>
  </w:style>
  <w:style w:type="character" w:styleId="Strong">
    <w:name w:val="Strong"/>
    <w:qFormat/>
    <w:rPr>
      <w:b/>
      <w:bCs/>
    </w:rPr>
  </w:style>
  <w:style w:type="character" w:styleId="Nivel1Char">
    <w:name w:val="Nivel1 Char"/>
    <w:basedOn w:val="DefaultParagraphFont"/>
    <w:qFormat/>
    <w:rPr>
      <w:rFonts w:ascii="Arial" w:hAnsi="Arial" w:eastAsia="Calibri" w:cs="Arial"/>
      <w:b/>
      <w:color w:val="000000"/>
      <w:sz w:val="32"/>
      <w:szCs w:val="32"/>
    </w:rPr>
  </w:style>
  <w:style w:type="character" w:styleId="CitaoChar">
    <w:name w:val="Citação Char"/>
    <w:basedOn w:val="DefaultParagraphFont"/>
    <w:qFormat/>
    <w:rPr>
      <w:rFonts w:ascii="Arial" w:hAnsi="Arial" w:eastAsia="Calibri" w:cs="Tahoma"/>
      <w:i/>
      <w:iCs/>
      <w:color w:val="000000"/>
      <w:sz w:val="20"/>
      <w:szCs w:val="24"/>
      <w:shd w:fill="FFFFCC" w:val="clear"/>
    </w:rPr>
  </w:style>
  <w:style w:type="character" w:styleId="A6">
    <w:name w:val="A6"/>
    <w:qFormat/>
    <w:rPr>
      <w:color w:val="000000"/>
      <w:sz w:val="18"/>
      <w:u w:val="single"/>
    </w:rPr>
  </w:style>
  <w:style w:type="character" w:styleId="PageNumber">
    <w:name w:val="Page Number"/>
    <w:basedOn w:val="DefaultParagraphFon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20"/>
    </w:pPr>
    <w:rPr>
      <w:rFonts w:eastAsia="Times New Roman"/>
      <w:lang w:eastAsia="pt-BR"/>
    </w:rPr>
  </w:style>
  <w:style w:type="paragraph" w:styleId="List">
    <w:name w:val="List"/>
    <w:basedOn w:val="BodyText"/>
    <w:pPr>
      <w:spacing w:before="0" w:after="140"/>
    </w:pPr>
    <w:rPr>
      <w:rFonts w:eastAsia="Calibri" w:cs="Arial"/>
      <w:lang w:eastAsia="zh-CN"/>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Title">
    <w:name w:val="Title"/>
    <w:basedOn w:val="Normal"/>
    <w:next w:val="BodyText"/>
    <w:link w:val="TtuloChar"/>
    <w:qFormat/>
    <w:pPr>
      <w:spacing w:lineRule="auto" w:line="240" w:before="0" w:after="0"/>
      <w:jc w:val="center"/>
    </w:pPr>
    <w:rPr>
      <w:rFonts w:ascii="Times New Roman" w:hAnsi="Times New Roman" w:eastAsia="Times New Roman"/>
      <w:b/>
      <w:bCs/>
      <w:sz w:val="28"/>
      <w:szCs w:val="24"/>
      <w:lang w:eastAsia="pt-BR"/>
    </w:rPr>
  </w:style>
  <w:style w:type="paragraph" w:styleId="caption1">
    <w:name w:val="caption1"/>
    <w:basedOn w:val="Normal"/>
    <w:qFormat/>
    <w:pPr>
      <w:suppressLineNumbers/>
      <w:spacing w:before="120" w:after="120"/>
    </w:pPr>
    <w:rPr>
      <w:rFonts w:ascii="Arial" w:hAnsi="Arial" w:cs="Arial"/>
      <w:i/>
      <w:iCs/>
      <w:sz w:val="24"/>
      <w:szCs w:val="24"/>
      <w:lang w:eastAsia="zh-CN"/>
    </w:rPr>
  </w:style>
  <w:style w:type="paragraph" w:styleId="CabealhoeRodap">
    <w:name w:val="Cabeçalho e Rodapé"/>
    <w:basedOn w:val="Normal"/>
    <w:qFormat/>
    <w:pPr>
      <w:suppressLineNumbers/>
      <w:tabs>
        <w:tab w:val="clear" w:pos="708"/>
        <w:tab w:val="center" w:pos="4819" w:leader="none"/>
        <w:tab w:val="right" w:pos="9638" w:leader="none"/>
      </w:tabs>
    </w:pPr>
    <w:rPr>
      <w:rFonts w:cs="Calibri"/>
      <w:lang w:eastAsia="zh-CN"/>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Cabealhoerodap8">
    <w:name w:val="Cabeçalho e rodapé8"/>
    <w:basedOn w:val="Normal"/>
    <w:qFormat/>
    <w:pPr/>
    <w:rPr/>
  </w:style>
  <w:style w:type="paragraph" w:styleId="Cabealhoerodap9">
    <w:name w:val="Cabeçalho e rodapé9"/>
    <w:basedOn w:val="Normal"/>
    <w:qFormat/>
    <w:pPr/>
    <w:rPr/>
  </w:style>
  <w:style w:type="paragraph" w:styleId="Cabealhoerodap10">
    <w:name w:val="Cabeçalho e rodapé10"/>
    <w:basedOn w:val="Normal"/>
    <w:qFormat/>
    <w:pPr/>
    <w:rPr/>
  </w:style>
  <w:style w:type="paragraph" w:styleId="Header">
    <w:name w:val="Header"/>
    <w:basedOn w:val="Normal"/>
    <w:link w:val="CabealhoChar"/>
    <w:pPr>
      <w:tabs>
        <w:tab w:val="clear" w:pos="708"/>
        <w:tab w:val="center" w:pos="4252" w:leader="none"/>
        <w:tab w:val="right" w:pos="8504" w:leader="none"/>
      </w:tabs>
      <w:spacing w:lineRule="auto" w:line="240" w:before="0" w:after="0"/>
    </w:pPr>
    <w:rPr/>
  </w:style>
  <w:style w:type="paragraph" w:styleId="Footer">
    <w:name w:val="Footer"/>
    <w:basedOn w:val="Normal"/>
    <w:link w:val="RodapChar"/>
    <w:pPr>
      <w:tabs>
        <w:tab w:val="clear" w:pos="708"/>
        <w:tab w:val="center" w:pos="4252" w:leader="none"/>
        <w:tab w:val="right" w:pos="8504" w:leader="none"/>
      </w:tabs>
      <w:spacing w:lineRule="auto" w:line="240" w:before="0" w:after="0"/>
    </w:pPr>
    <w:rPr/>
  </w:style>
  <w:style w:type="paragraph" w:styleId="BalloonText">
    <w:name w:val="Balloon Text"/>
    <w:basedOn w:val="Normal"/>
    <w:link w:val="TextodebaloChar"/>
    <w:qFormat/>
    <w:pPr>
      <w:spacing w:lineRule="auto" w:line="240" w:before="0" w:after="0"/>
    </w:pPr>
    <w:rPr>
      <w:rFonts w:ascii="Tahoma" w:hAnsi="Tahoma" w:cs="Tahoma"/>
      <w:sz w:val="16"/>
      <w:szCs w:val="16"/>
    </w:rPr>
  </w:style>
  <w:style w:type="paragraph" w:styleId="NoSpacing">
    <w:name w:val="No Spacing"/>
    <w:link w:val="SemEspaamentoChar"/>
    <w:qFormat/>
    <w:pPr>
      <w:widowControl/>
      <w:suppressAutoHyphens w:val="true"/>
      <w:overflowPunct w:val="false"/>
      <w:bidi w:val="0"/>
      <w:spacing w:before="0" w:after="0"/>
      <w:jc w:val="left"/>
    </w:pPr>
    <w:rPr>
      <w:rFonts w:ascii="Calibri" w:hAnsi="Calibri" w:eastAsia="Times New Roman" w:cs="Times New Roman"/>
      <w:color w:val="auto"/>
      <w:kern w:val="0"/>
      <w:sz w:val="22"/>
      <w:szCs w:val="22"/>
      <w:lang w:val="pt-BR" w:eastAsia="pt-BR" w:bidi="ar-SA"/>
    </w:rPr>
  </w:style>
  <w:style w:type="paragraph" w:styleId="Corpodetexto21">
    <w:name w:val="Corpo de texto 21"/>
    <w:basedOn w:val="Normal"/>
    <w:qFormat/>
    <w:pPr>
      <w:widowControl w:val="false"/>
      <w:overflowPunct w:val="false"/>
      <w:spacing w:lineRule="auto" w:line="360" w:before="0" w:after="0"/>
      <w:ind w:firstLine="239"/>
      <w:jc w:val="both"/>
      <w:textAlignment w:val="baseline"/>
    </w:pPr>
    <w:rPr>
      <w:rFonts w:ascii="Times New Roman" w:hAnsi="Times New Roman" w:eastAsia="Times New Roman"/>
      <w:szCs w:val="20"/>
    </w:rPr>
  </w:style>
  <w:style w:type="paragraph" w:styleId="BodyText3">
    <w:name w:val="Body Text 3"/>
    <w:basedOn w:val="Normal"/>
    <w:link w:val="Corpodetexto3Char"/>
    <w:qFormat/>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overflowPunct w:val="false"/>
      <w:spacing w:lineRule="auto" w:line="240" w:before="0" w:after="0"/>
      <w:jc w:val="both"/>
      <w:textAlignment w:val="baseline"/>
    </w:pPr>
    <w:rPr>
      <w:rFonts w:ascii="Arial" w:hAnsi="Arial" w:eastAsia="Times New Roman" w:cs="Arial"/>
      <w:szCs w:val="20"/>
    </w:rPr>
  </w:style>
  <w:style w:type="paragraph" w:styleId="BodyText2">
    <w:name w:val="Body Text 2"/>
    <w:basedOn w:val="Normal"/>
    <w:link w:val="Corpodetexto2Char"/>
    <w:qFormat/>
    <w:pPr>
      <w:tabs>
        <w:tab w:val="clear" w:pos="708"/>
        <w:tab w:val="left" w:pos="851" w:leader="none"/>
      </w:tabs>
      <w:overflowPunct w:val="false"/>
      <w:spacing w:lineRule="auto" w:line="240" w:before="0" w:after="0"/>
      <w:jc w:val="both"/>
      <w:textAlignment w:val="baseline"/>
    </w:pPr>
    <w:rPr>
      <w:rFonts w:ascii="Arial" w:hAnsi="Arial" w:eastAsia="Times New Roman" w:cs="Arial"/>
      <w:b/>
      <w:szCs w:val="20"/>
    </w:rPr>
  </w:style>
  <w:style w:type="paragraph" w:styleId="BodyTextIndent3">
    <w:name w:val="Body Text Indent 3"/>
    <w:basedOn w:val="Normal"/>
    <w:link w:val="Recuodecorpodetexto3Char"/>
    <w:qFormat/>
    <w:pPr>
      <w:overflowPunct w:val="false"/>
      <w:spacing w:lineRule="auto" w:line="240" w:before="0" w:after="120"/>
      <w:ind w:left="283"/>
      <w:textAlignment w:val="baseline"/>
    </w:pPr>
    <w:rPr>
      <w:rFonts w:ascii="Times New Roman" w:hAnsi="Times New Roman" w:eastAsia="Times New Roman"/>
      <w:sz w:val="16"/>
      <w:szCs w:val="16"/>
      <w:lang w:eastAsia="pt-BR"/>
    </w:rPr>
  </w:style>
  <w:style w:type="paragraph" w:styleId="ListParagraph">
    <w:name w:val="List Paragraph"/>
    <w:basedOn w:val="Normal"/>
    <w:qFormat/>
    <w:pPr>
      <w:spacing w:before="0" w:after="200"/>
      <w:ind w:left="720"/>
      <w:contextualSpacing/>
    </w:pPr>
    <w:rPr>
      <w:rFonts w:eastAsia="Times New Roman"/>
      <w:lang w:eastAsia="pt-BR"/>
    </w:rPr>
  </w:style>
  <w:style w:type="paragraph" w:styleId="Corpodetexto22">
    <w:name w:val="Corpo de texto 22"/>
    <w:basedOn w:val="Normal"/>
    <w:qFormat/>
    <w:pPr>
      <w:widowControl w:val="false"/>
      <w:overflowPunct w:val="false"/>
      <w:spacing w:lineRule="auto" w:line="360" w:before="0" w:after="0"/>
      <w:ind w:firstLine="239"/>
      <w:jc w:val="both"/>
      <w:textAlignment w:val="baseline"/>
    </w:pPr>
    <w:rPr>
      <w:rFonts w:ascii="Times New Roman" w:hAnsi="Times New Roman" w:eastAsia="Times New Roman"/>
      <w:szCs w:val="20"/>
    </w:rPr>
  </w:style>
  <w:style w:type="paragraph" w:styleId="PargrafodaLista1">
    <w:name w:val="Parágrafo da Lista1"/>
    <w:basedOn w:val="Normal"/>
    <w:qFormat/>
    <w:pPr>
      <w:widowControl w:val="false"/>
      <w:spacing w:before="0" w:after="0"/>
    </w:pPr>
    <w:rPr>
      <w:rFonts w:cs="font1255"/>
      <w:lang w:val="en-US" w:eastAsia="zh-CN"/>
    </w:rPr>
  </w:style>
  <w:style w:type="paragraph" w:styleId="PargrafodaLista2">
    <w:name w:val="Parágrafo da Lista2"/>
    <w:basedOn w:val="Normal"/>
    <w:qFormat/>
    <w:pPr>
      <w:widowControl w:val="false"/>
      <w:spacing w:before="0" w:after="0"/>
    </w:pPr>
    <w:rPr>
      <w:rFonts w:cs="font1255"/>
      <w:lang w:val="en-US" w:eastAsia="zh-CN"/>
    </w:rPr>
  </w:style>
  <w:style w:type="paragraph" w:styleId="PargrafodaLista3">
    <w:name w:val="Parágrafo da Lista3"/>
    <w:basedOn w:val="Normal"/>
    <w:qFormat/>
    <w:pPr>
      <w:widowControl w:val="false"/>
      <w:spacing w:before="0" w:after="0"/>
    </w:pPr>
    <w:rPr>
      <w:rFonts w:cs="font1252"/>
      <w:lang w:val="en-US" w:eastAsia="zh-CN"/>
    </w:rPr>
  </w:style>
  <w:style w:type="paragraph" w:styleId="AnnotationText">
    <w:name w:val="Annotation Text"/>
    <w:basedOn w:val="Normal"/>
    <w:link w:val="TextodecomentrioChar"/>
    <w:pPr>
      <w:spacing w:lineRule="auto" w:line="240"/>
    </w:pPr>
    <w:rPr>
      <w:sz w:val="20"/>
      <w:szCs w:val="20"/>
    </w:rPr>
  </w:style>
  <w:style w:type="paragraph" w:styleId="annotationsubject">
    <w:name w:val="annotation subject"/>
    <w:basedOn w:val="AnnotationText"/>
    <w:next w:val="AnnotationText"/>
    <w:link w:val="AssuntodocomentrioChar"/>
    <w:qFormat/>
    <w:pPr/>
    <w:rPr>
      <w:b/>
      <w:bCs/>
    </w:rPr>
  </w:style>
  <w:style w:type="paragraph" w:styleId="Revision">
    <w:name w:val="Revision"/>
    <w:qFormat/>
    <w:pPr>
      <w:widowControl/>
      <w:suppressAutoHyphens w:val="true"/>
      <w:overflowPunct w:val="false"/>
      <w:bidi w:val="0"/>
      <w:spacing w:before="0" w:after="0"/>
      <w:jc w:val="left"/>
    </w:pPr>
    <w:rPr>
      <w:rFonts w:ascii="Calibri" w:hAnsi="Calibri" w:eastAsia="Calibri" w:cs="Times New Roman"/>
      <w:color w:val="auto"/>
      <w:kern w:val="0"/>
      <w:sz w:val="22"/>
      <w:szCs w:val="22"/>
      <w:lang w:val="pt-BR" w:eastAsia="en-US" w:bidi="ar-SA"/>
    </w:rPr>
  </w:style>
  <w:style w:type="paragraph" w:styleId="NormalWeb">
    <w:name w:val="Normal (Web)"/>
    <w:basedOn w:val="Normal"/>
    <w:qFormat/>
    <w:pPr>
      <w:spacing w:lineRule="auto" w:line="240" w:before="280" w:after="280"/>
    </w:pPr>
    <w:rPr>
      <w:rFonts w:ascii="Times New Roman" w:hAnsi="Times New Roman" w:eastAsia="Times New Roman"/>
      <w:sz w:val="24"/>
      <w:szCs w:val="24"/>
      <w:lang w:eastAsia="pt-BR"/>
    </w:rPr>
  </w:style>
  <w:style w:type="paragraph" w:styleId="Ttulo4">
    <w:name w:val="Título4"/>
    <w:basedOn w:val="Normal"/>
    <w:next w:val="BodyText"/>
    <w:qFormat/>
    <w:pPr>
      <w:keepNext w:val="true"/>
      <w:spacing w:before="240" w:after="120"/>
    </w:pPr>
    <w:rPr>
      <w:rFonts w:ascii="Arial" w:hAnsi="Arial" w:eastAsia="Microsoft YaHei" w:cs="Arial"/>
      <w:sz w:val="28"/>
      <w:szCs w:val="28"/>
      <w:lang w:eastAsia="zh-CN"/>
    </w:rPr>
  </w:style>
  <w:style w:type="paragraph" w:styleId="Caption11">
    <w:name w:val="Caption11"/>
    <w:basedOn w:val="Normal"/>
    <w:qFormat/>
    <w:pPr>
      <w:suppressLineNumbers/>
      <w:spacing w:before="120" w:after="120"/>
    </w:pPr>
    <w:rPr>
      <w:rFonts w:ascii="Arial" w:hAnsi="Arial" w:cs="Arial"/>
      <w:i/>
      <w:iCs/>
      <w:sz w:val="24"/>
      <w:szCs w:val="24"/>
      <w:lang w:eastAsia="zh-CN"/>
    </w:rPr>
  </w:style>
  <w:style w:type="paragraph" w:styleId="Caption111">
    <w:name w:val="Caption111"/>
    <w:basedOn w:val="Normal"/>
    <w:qFormat/>
    <w:pPr>
      <w:suppressLineNumbers/>
      <w:spacing w:before="120" w:after="120"/>
    </w:pPr>
    <w:rPr>
      <w:rFonts w:cs="Arial"/>
      <w:i/>
      <w:iCs/>
      <w:sz w:val="24"/>
      <w:szCs w:val="24"/>
      <w:lang w:eastAsia="zh-CN"/>
    </w:rPr>
  </w:style>
  <w:style w:type="paragraph" w:styleId="Ttulo3">
    <w:name w:val="Título3"/>
    <w:basedOn w:val="Normal"/>
    <w:next w:val="BodyText"/>
    <w:qFormat/>
    <w:pPr>
      <w:keepNext w:val="true"/>
      <w:spacing w:before="240" w:after="120"/>
    </w:pPr>
    <w:rPr>
      <w:rFonts w:ascii="Arial" w:hAnsi="Arial" w:eastAsia="Microsoft YaHei" w:cs="Arial"/>
      <w:sz w:val="28"/>
      <w:szCs w:val="28"/>
      <w:lang w:eastAsia="zh-CN"/>
    </w:rPr>
  </w:style>
  <w:style w:type="paragraph" w:styleId="Ttulo2">
    <w:name w:val="Título2"/>
    <w:basedOn w:val="Normal"/>
    <w:next w:val="BodyText"/>
    <w:qFormat/>
    <w:pPr>
      <w:keepNext w:val="true"/>
      <w:spacing w:before="240" w:after="120"/>
    </w:pPr>
    <w:rPr>
      <w:rFonts w:ascii="Arial" w:hAnsi="Arial" w:eastAsia="Microsoft YaHei" w:cs="Arial"/>
      <w:sz w:val="28"/>
      <w:szCs w:val="28"/>
      <w:lang w:eastAsia="zh-CN"/>
    </w:rPr>
  </w:style>
  <w:style w:type="paragraph" w:styleId="Ttulo1">
    <w:name w:val="Título1"/>
    <w:basedOn w:val="Normal"/>
    <w:next w:val="BodyText"/>
    <w:qFormat/>
    <w:pPr>
      <w:spacing w:lineRule="auto" w:line="240" w:before="0" w:after="0"/>
      <w:jc w:val="center"/>
    </w:pPr>
    <w:rPr>
      <w:rFonts w:ascii="Times New Roman" w:hAnsi="Times New Roman" w:eastAsia="Times New Roman"/>
      <w:b/>
      <w:bCs/>
      <w:sz w:val="28"/>
      <w:szCs w:val="24"/>
      <w:lang w:eastAsia="zh-CN"/>
    </w:rPr>
  </w:style>
  <w:style w:type="paragraph" w:styleId="Cabealhoerodap11">
    <w:name w:val="Cabeçalho e rodapé11"/>
    <w:basedOn w:val="Normal"/>
    <w:qFormat/>
    <w:pPr>
      <w:suppressLineNumbers/>
      <w:tabs>
        <w:tab w:val="clear" w:pos="708"/>
        <w:tab w:val="center" w:pos="4819" w:leader="none"/>
        <w:tab w:val="right" w:pos="9638" w:leader="none"/>
      </w:tabs>
    </w:pPr>
    <w:rPr>
      <w:rFonts w:cs="Calibri"/>
      <w:lang w:eastAsia="zh-CN"/>
    </w:rPr>
  </w:style>
  <w:style w:type="paragraph" w:styleId="Cabealhoerodap21">
    <w:name w:val="Cabeçalho e rodapé21"/>
    <w:basedOn w:val="Normal"/>
    <w:qFormat/>
    <w:pPr>
      <w:suppressLineNumbers/>
      <w:tabs>
        <w:tab w:val="clear" w:pos="708"/>
        <w:tab w:val="center" w:pos="4819" w:leader="none"/>
        <w:tab w:val="right" w:pos="9638" w:leader="none"/>
      </w:tabs>
    </w:pPr>
    <w:rPr>
      <w:rFonts w:cs="Calibri"/>
      <w:lang w:eastAsia="zh-CN"/>
    </w:rPr>
  </w:style>
  <w:style w:type="paragraph" w:styleId="Cabealhoerodap31">
    <w:name w:val="Cabeçalho e rodapé31"/>
    <w:basedOn w:val="Normal"/>
    <w:qFormat/>
    <w:pPr>
      <w:suppressLineNumbers/>
      <w:tabs>
        <w:tab w:val="clear" w:pos="708"/>
        <w:tab w:val="center" w:pos="4819" w:leader="none"/>
        <w:tab w:val="right" w:pos="9638" w:leader="none"/>
      </w:tabs>
    </w:pPr>
    <w:rPr>
      <w:rFonts w:cs="Calibri"/>
      <w:lang w:eastAsia="zh-CN"/>
    </w:rPr>
  </w:style>
  <w:style w:type="paragraph" w:styleId="Contedodatabela">
    <w:name w:val="Conteúdo da tabela"/>
    <w:basedOn w:val="Normal"/>
    <w:qFormat/>
    <w:pPr>
      <w:widowControl w:val="false"/>
      <w:suppressLineNumbers/>
    </w:pPr>
    <w:rPr>
      <w:rFonts w:cs="Calibri"/>
      <w:lang w:eastAsia="zh-CN"/>
    </w:rPr>
  </w:style>
  <w:style w:type="paragraph" w:styleId="Ttulodetabela">
    <w:name w:val="Título de tabela"/>
    <w:basedOn w:val="Contedodatabela"/>
    <w:qFormat/>
    <w:pPr>
      <w:jc w:val="center"/>
    </w:pPr>
    <w:rPr>
      <w:b/>
      <w:bCs/>
    </w:rPr>
  </w:style>
  <w:style w:type="paragraph" w:styleId="Nivel2">
    <w:name w:val="Nivel 2"/>
    <w:basedOn w:val="Normal"/>
    <w:qFormat/>
    <w:pPr>
      <w:numPr>
        <w:ilvl w:val="0"/>
        <w:numId w:val="3"/>
      </w:numPr>
      <w:spacing w:before="120" w:after="120"/>
      <w:jc w:val="both"/>
    </w:pPr>
    <w:rPr>
      <w:rFonts w:ascii="Arial" w:hAnsi="Arial" w:eastAsia="Arial" w:cs="Arial"/>
      <w:color w:val="000000"/>
      <w:sz w:val="20"/>
      <w:szCs w:val="20"/>
      <w:lang w:eastAsia="zh-CN"/>
    </w:rPr>
  </w:style>
  <w:style w:type="paragraph" w:styleId="Nvel2-Red">
    <w:name w:val="Nível 2 -Red"/>
    <w:basedOn w:val="Nivel2"/>
    <w:qFormat/>
    <w:pPr/>
    <w:rPr>
      <w:i/>
      <w:iCs/>
      <w:color w:val="FF0000"/>
    </w:rPr>
  </w:style>
  <w:style w:type="paragraph" w:styleId="Nivel01">
    <w:name w:val="Nivel 01"/>
    <w:basedOn w:val="Heading1"/>
    <w:next w:val="Normal"/>
    <w:qFormat/>
    <w:pPr>
      <w:numPr>
        <w:ilvl w:val="0"/>
        <w:numId w:val="0"/>
      </w:numPr>
      <w:tabs>
        <w:tab w:val="clear" w:pos="708"/>
        <w:tab w:val="left" w:pos="567" w:leader="none"/>
      </w:tabs>
      <w:spacing w:before="240" w:after="120"/>
      <w:jc w:val="both"/>
      <w:outlineLvl w:val="9"/>
    </w:pPr>
    <w:rPr>
      <w:rFonts w:ascii="Arial" w:hAnsi="Arial" w:cs="Arial"/>
      <w:color w:val="auto"/>
      <w:sz w:val="20"/>
      <w:szCs w:val="20"/>
    </w:rPr>
  </w:style>
  <w:style w:type="paragraph" w:styleId="Nvel1-SemNum">
    <w:name w:val="Nível 1-Sem Num"/>
    <w:basedOn w:val="Nivel01"/>
    <w:qFormat/>
    <w:pPr/>
    <w:rPr>
      <w:color w:val="FF0000"/>
    </w:rPr>
  </w:style>
  <w:style w:type="paragraph" w:styleId="Nvel1-SemNumPreto">
    <w:name w:val="Nível 1-Sem Num Preto"/>
    <w:basedOn w:val="Nvel1-SemNum"/>
    <w:qFormat/>
    <w:pPr/>
    <w:rPr>
      <w:color w:val="auto"/>
      <w:lang w:bidi="hi-IN"/>
    </w:rPr>
  </w:style>
  <w:style w:type="paragraph" w:styleId="Nivel3">
    <w:name w:val="Nivel 3"/>
    <w:basedOn w:val="Normal"/>
    <w:qFormat/>
    <w:pPr>
      <w:numPr>
        <w:ilvl w:val="0"/>
        <w:numId w:val="2"/>
      </w:numPr>
      <w:spacing w:before="120" w:after="120"/>
      <w:jc w:val="both"/>
    </w:pPr>
    <w:rPr>
      <w:rFonts w:ascii="Arial" w:hAnsi="Arial" w:cs="Arial"/>
      <w:color w:val="000000"/>
      <w:sz w:val="20"/>
      <w:szCs w:val="20"/>
      <w:lang w:eastAsia="zh-CN"/>
    </w:rPr>
  </w:style>
  <w:style w:type="paragraph" w:styleId="Textodecomentrio1">
    <w:name w:val="Texto de comentário1"/>
    <w:basedOn w:val="Normal"/>
    <w:qFormat/>
    <w:pPr/>
    <w:rPr>
      <w:rFonts w:cs="Calibri"/>
      <w:sz w:val="20"/>
      <w:szCs w:val="20"/>
      <w:lang w:eastAsia="zh-CN"/>
    </w:rPr>
  </w:style>
  <w:style w:type="paragraph" w:styleId="Textodecomentrio2">
    <w:name w:val="Texto de comentário2"/>
    <w:basedOn w:val="Normal"/>
    <w:qFormat/>
    <w:pPr/>
    <w:rPr>
      <w:rFonts w:cs="Calibri"/>
      <w:sz w:val="20"/>
      <w:szCs w:val="20"/>
      <w:lang w:eastAsia="zh-CN"/>
    </w:rPr>
  </w:style>
  <w:style w:type="paragraph" w:styleId="PargrafodaLista4">
    <w:name w:val="Parágrafo da Lista4"/>
    <w:basedOn w:val="Normal"/>
    <w:qFormat/>
    <w:pPr>
      <w:widowControl w:val="false"/>
      <w:spacing w:before="119" w:after="0"/>
      <w:ind w:left="220"/>
      <w:jc w:val="both"/>
    </w:pPr>
    <w:rPr>
      <w:rFonts w:cs="Calibri"/>
      <w:lang w:val="pt-PT" w:eastAsia="zh-CN"/>
    </w:rPr>
  </w:style>
  <w:style w:type="paragraph" w:styleId="Standard">
    <w:name w:val="Standard"/>
    <w:qFormat/>
    <w:pPr>
      <w:widowControl w:val="false"/>
      <w:suppressAutoHyphens w:val="true"/>
      <w:overflowPunct w:val="false"/>
      <w:bidi w:val="0"/>
      <w:spacing w:before="0" w:after="0"/>
      <w:jc w:val="left"/>
      <w:textAlignment w:val="baseline"/>
    </w:pPr>
    <w:rPr>
      <w:rFonts w:ascii="Times New Roman" w:hAnsi="Times New Roman" w:eastAsia="Arial Unicode MS" w:cs="Tahoma"/>
      <w:color w:val="auto"/>
      <w:kern w:val="2"/>
      <w:sz w:val="24"/>
      <w:szCs w:val="24"/>
      <w:lang w:val="pt-BR" w:eastAsia="zh-CN" w:bidi="hi-IN"/>
    </w:rPr>
  </w:style>
  <w:style w:type="paragraph" w:styleId="Default">
    <w:name w:val="Default"/>
    <w:qFormat/>
    <w:pPr>
      <w:widowControl/>
      <w:suppressAutoHyphens w:val="true"/>
      <w:overflowPunct w:val="fals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SemEspaamento1">
    <w:name w:val="Sem Espaçamento1"/>
    <w:qFormat/>
    <w:pPr>
      <w:widowControl/>
      <w:suppressAutoHyphens w:val="true"/>
      <w:overflowPunct w:val="false"/>
      <w:bidi w:val="0"/>
      <w:spacing w:lineRule="auto" w:line="252" w:before="0" w:after="160"/>
      <w:jc w:val="left"/>
    </w:pPr>
    <w:rPr>
      <w:rFonts w:ascii="Calibri" w:hAnsi="Calibri" w:eastAsia="Times New Roman" w:cs="Calibri"/>
      <w:color w:val="auto"/>
      <w:kern w:val="0"/>
      <w:sz w:val="22"/>
      <w:szCs w:val="22"/>
      <w:lang w:val="pt-BR" w:eastAsia="zh-CN" w:bidi="ar-SA"/>
    </w:rPr>
  </w:style>
  <w:style w:type="paragraph" w:styleId="Textodecomentrio3">
    <w:name w:val="Texto de comentário3"/>
    <w:basedOn w:val="Normal"/>
    <w:qFormat/>
    <w:pPr/>
    <w:rPr>
      <w:rFonts w:cs="Calibri"/>
      <w:sz w:val="20"/>
      <w:szCs w:val="20"/>
      <w:lang w:eastAsia="zh-CN"/>
    </w:rPr>
  </w:style>
  <w:style w:type="paragraph" w:styleId="caption12">
    <w:name w:val="caption12"/>
    <w:basedOn w:val="Normal"/>
    <w:qFormat/>
    <w:pPr>
      <w:spacing w:before="120" w:after="120"/>
    </w:pPr>
    <w:rPr>
      <w:rFonts w:cs="Arial"/>
      <w:i/>
      <w:iCs/>
    </w:rPr>
  </w:style>
  <w:style w:type="paragraph" w:styleId="BodyTextIndented">
    <w:name w:val="Body Text, Indented"/>
    <w:basedOn w:val="Normal"/>
    <w:link w:val="RecuodecorpodetextoChar"/>
    <w:qFormat/>
    <w:pPr>
      <w:spacing w:lineRule="auto" w:line="240" w:before="0" w:after="0"/>
      <w:ind w:hanging="993" w:left="1134"/>
      <w:jc w:val="both"/>
    </w:pPr>
    <w:rPr>
      <w:rFonts w:ascii="Times New Roman" w:hAnsi="Times New Roman" w:eastAsia="Times New Roman"/>
      <w:sz w:val="28"/>
      <w:szCs w:val="20"/>
      <w:lang w:eastAsia="pt-BR"/>
    </w:rPr>
  </w:style>
  <w:style w:type="paragraph" w:styleId="Tabelanormal1">
    <w:name w:val="Tabela normal1"/>
    <w:qFormat/>
    <w:pPr>
      <w:widowControl/>
      <w:suppressAutoHyphens w:val="true"/>
      <w:overflowPunct w:val="false"/>
      <w:bidi w:val="0"/>
      <w:spacing w:before="0" w:after="0"/>
      <w:jc w:val="left"/>
    </w:pPr>
    <w:rPr>
      <w:rFonts w:ascii="Calibri" w:hAnsi="Calibri" w:eastAsia="Calibri" w:cs="Times New Roman"/>
      <w:color w:val="auto"/>
      <w:kern w:val="0"/>
      <w:sz w:val="20"/>
      <w:szCs w:val="20"/>
      <w:lang w:val="pt-BR" w:eastAsia="pt-BR" w:bidi="ar-SA"/>
    </w:rPr>
  </w:style>
  <w:style w:type="paragraph" w:styleId="Textbody">
    <w:name w:val="Text body"/>
    <w:basedOn w:val="Standard"/>
    <w:link w:val="CorpodetextoChar"/>
    <w:qFormat/>
    <w:pPr>
      <w:spacing w:before="0" w:after="120"/>
    </w:pPr>
    <w:rPr>
      <w:lang w:eastAsia="hi-IN"/>
    </w:rPr>
  </w:style>
  <w:style w:type="paragraph" w:styleId="Contedodoquadro">
    <w:name w:val="Conteúdo do quadro"/>
    <w:basedOn w:val="Normal"/>
    <w:qFormat/>
    <w:pPr/>
    <w:rPr/>
  </w:style>
  <w:style w:type="paragraph" w:styleId="Standard2">
    <w:name w:val="Standard2"/>
    <w:qFormat/>
    <w:pPr>
      <w:widowControl w:val="false"/>
      <w:suppressAutoHyphens w:val="true"/>
      <w:bidi w:val="0"/>
      <w:spacing w:before="0" w:after="0"/>
      <w:jc w:val="left"/>
      <w:textAlignment w:val="baseline"/>
    </w:pPr>
    <w:rPr>
      <w:rFonts w:ascii="Times New Roman" w:hAnsi="Times New Roman" w:eastAsia="Arial Unicode MS" w:cs="Tahoma"/>
      <w:color w:val="auto"/>
      <w:kern w:val="2"/>
      <w:sz w:val="24"/>
      <w:szCs w:val="24"/>
      <w:lang w:val="pt-BR" w:eastAsia="zh-CN" w:bidi="hi-IN"/>
    </w:rPr>
  </w:style>
  <w:style w:type="paragraph" w:styleId="Cabealhoerodap151">
    <w:name w:val="Cabeçalho e rodapé151"/>
    <w:basedOn w:val="Normal"/>
    <w:qFormat/>
    <w:pPr/>
    <w:rPr/>
  </w:style>
  <w:style w:type="paragraph" w:styleId="Cabealhoerodap161">
    <w:name w:val="Cabeçalho e rodapé161"/>
    <w:basedOn w:val="Normal"/>
    <w:qFormat/>
    <w:pPr/>
    <w:rPr/>
  </w:style>
  <w:style w:type="paragraph" w:styleId="Cabealhoerodap17">
    <w:name w:val="Cabeçalho e rodapé17"/>
    <w:basedOn w:val="Normal"/>
    <w:qFormat/>
    <w:pPr/>
    <w:rPr/>
  </w:style>
  <w:style w:type="paragraph" w:styleId="Cabealhoerodap18">
    <w:name w:val="Cabeçalho e rodapé18"/>
    <w:basedOn w:val="Normal"/>
    <w:qFormat/>
    <w:pPr/>
    <w:rPr/>
  </w:style>
  <w:style w:type="paragraph" w:styleId="normal1">
    <w:name w:val="normal1"/>
    <w:qFormat/>
    <w:pPr>
      <w:widowControl/>
      <w:suppressAutoHyphens w:val="true"/>
      <w:bidi w:val="0"/>
      <w:spacing w:before="0" w:after="0"/>
      <w:jc w:val="left"/>
    </w:pPr>
    <w:rPr>
      <w:rFonts w:ascii="Calibri" w:hAnsi="Calibri" w:eastAsia="Calibri" w:cs="Tahoma"/>
      <w:color w:val="auto"/>
      <w:kern w:val="0"/>
      <w:sz w:val="22"/>
      <w:szCs w:val="22"/>
      <w:lang w:val="pt-BR" w:eastAsia="en-US" w:bidi="ar-SA"/>
    </w:rPr>
  </w:style>
  <w:style w:type="paragraph" w:styleId="Standard1">
    <w:name w:val="Standard1"/>
    <w:qFormat/>
    <w:pPr>
      <w:widowControl/>
      <w:suppressAutoHyphens w:val="true"/>
      <w:bidi w:val="0"/>
      <w:spacing w:before="0" w:after="0"/>
      <w:jc w:val="left"/>
      <w:textAlignment w:val="baseline"/>
    </w:pPr>
    <w:rPr>
      <w:rFonts w:ascii="Calibri" w:hAnsi="Calibri" w:eastAsia="Calibri" w:cs="Calibri"/>
      <w:color w:val="auto"/>
      <w:kern w:val="2"/>
      <w:sz w:val="24"/>
      <w:szCs w:val="24"/>
      <w:lang w:val="pt-BR" w:eastAsia="zh-CN" w:bidi="hi-IN"/>
    </w:rPr>
  </w:style>
  <w:style w:type="paragraph" w:styleId="caption4">
    <w:name w:val="caption4"/>
    <w:basedOn w:val="Normal"/>
    <w:qFormat/>
    <w:pPr>
      <w:suppressLineNumbers/>
      <w:spacing w:before="120" w:after="120"/>
    </w:pPr>
    <w:rPr>
      <w:rFonts w:cs="Lucida Sans"/>
      <w:i/>
      <w:iCs/>
      <w:szCs w:val="24"/>
    </w:rPr>
  </w:style>
  <w:style w:type="paragraph" w:styleId="WW-Textosimples">
    <w:name w:val="WW-Texto simples"/>
    <w:basedOn w:val="Normal"/>
    <w:qFormat/>
    <w:pPr/>
    <w:rPr>
      <w:rFonts w:ascii="Courier New" w:hAnsi="Courier New" w:cs="Courier New"/>
      <w:sz w:val="20"/>
    </w:rPr>
  </w:style>
  <w:style w:type="paragraph" w:styleId="LO-normal">
    <w:name w:val="LO-normal"/>
    <w:qFormat/>
    <w:pPr>
      <w:widowControl/>
      <w:suppressAutoHyphens w:val="true"/>
      <w:bidi w:val="0"/>
      <w:spacing w:lineRule="auto" w:line="360" w:before="240" w:after="240"/>
      <w:jc w:val="both"/>
    </w:pPr>
    <w:rPr>
      <w:rFonts w:ascii="Arial" w:hAnsi="Arial" w:eastAsia="Arial" w:cs="DejaVu Sans"/>
      <w:color w:val="auto"/>
      <w:kern w:val="0"/>
      <w:sz w:val="22"/>
      <w:szCs w:val="22"/>
      <w:lang w:val="pt-BR" w:eastAsia="en-US" w:bidi="ar-SA"/>
    </w:rPr>
  </w:style>
  <w:style w:type="paragraph" w:styleId="caption3">
    <w:name w:val="caption3"/>
    <w:basedOn w:val="Normal"/>
    <w:qFormat/>
    <w:pPr>
      <w:suppressLineNumbers/>
      <w:spacing w:before="120" w:after="120"/>
    </w:pPr>
    <w:rPr>
      <w:rFonts w:cs="Lucida Sans"/>
      <w:i/>
      <w:iCs/>
      <w:szCs w:val="24"/>
    </w:rPr>
  </w:style>
  <w:style w:type="paragraph" w:styleId="caption2">
    <w:name w:val="caption2"/>
    <w:basedOn w:val="Normal"/>
    <w:qFormat/>
    <w:pPr>
      <w:suppressLineNumbers/>
      <w:spacing w:before="120" w:after="120"/>
    </w:pPr>
    <w:rPr>
      <w:rFonts w:cs="Lucida Sans"/>
      <w:i/>
      <w:iCs/>
      <w:szCs w:val="24"/>
    </w:rPr>
  </w:style>
  <w:style w:type="paragraph" w:styleId="PargrafodaLista">
    <w:name w:val="Parágrafo da Lista"/>
    <w:basedOn w:val="Normal"/>
    <w:qFormat/>
    <w:pPr>
      <w:spacing w:lineRule="auto" w:line="276" w:before="0" w:after="200"/>
      <w:ind w:hanging="0" w:left="720"/>
      <w:contextualSpacing/>
    </w:pPr>
    <w:rPr>
      <w:rFonts w:ascii="Calibri" w:hAnsi="Calibri" w:eastAsia="Calibri" w:cs="Calibri"/>
      <w:sz w:val="22"/>
      <w:szCs w:val="22"/>
    </w:rPr>
  </w:style>
  <w:style w:type="paragraph" w:styleId="PADRO">
    <w:name w:val="PADRÃO"/>
    <w:qFormat/>
    <w:pPr>
      <w:keepNext w:val="true"/>
      <w:widowControl w:val="false"/>
      <w:shd w:val="clear" w:fill="FFFFFF"/>
      <w:suppressAutoHyphens w:val="true"/>
      <w:overflowPunct w:val="fals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citao2">
    <w:name w:val="citação 2"/>
    <w:basedOn w:val="Quote"/>
    <w:qFormat/>
    <w:pPr>
      <w:suppressAutoHyphens w:val="true"/>
    </w:pPr>
    <w:rPr>
      <w:kern w:val="2"/>
      <w:szCs w:val="20"/>
      <w:lang w:eastAsia="zh-CN" w:bidi="hi-IN"/>
    </w:rPr>
  </w:style>
  <w:style w:type="paragraph" w:styleId="Nivel1">
    <w:name w:val="Nivel1"/>
    <w:basedOn w:val="Heading1"/>
    <w:next w:val="Normal"/>
    <w:qFormat/>
    <w:pPr>
      <w:numPr>
        <w:ilvl w:val="0"/>
        <w:numId w:val="1"/>
      </w:numPr>
      <w:suppressAutoHyphens w:val="false"/>
      <w:spacing w:lineRule="auto" w:line="276" w:before="480" w:after="120"/>
      <w:ind w:hanging="0" w:left="0"/>
      <w:jc w:val="both"/>
      <w:outlineLvl w:val="9"/>
    </w:pPr>
    <w:rPr>
      <w:rFonts w:ascii="Arial" w:hAnsi="Arial" w:cs="Arial"/>
      <w:bCs w:val="false"/>
      <w:color w:themeColor="accent1" w:themeShade="bf" w:val="000000"/>
      <w:sz w:val="32"/>
      <w:szCs w:val="32"/>
      <w:lang w:eastAsia="en-US"/>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fill="FFFFCC"/>
      <w:suppressAutoHyphens w:val="false"/>
      <w:spacing w:before="120" w:after="0"/>
      <w:jc w:val="both"/>
    </w:pPr>
    <w:rPr>
      <w:rFonts w:ascii="Arial" w:hAnsi="Arial" w:eastAsia="Calibri" w:cs="Tahoma"/>
      <w:i/>
      <w:iCs/>
      <w:color w:val="000000"/>
      <w:sz w:val="20"/>
      <w:szCs w:val="24"/>
      <w:lang w:eastAsia="en-US"/>
    </w:rPr>
  </w:style>
  <w:style w:type="paragraph" w:styleId="Cabealhoerodap16">
    <w:name w:val="Cabeçalho e rodapé16"/>
    <w:basedOn w:val="Normal"/>
    <w:qFormat/>
    <w:pPr/>
    <w:rPr/>
  </w:style>
  <w:style w:type="paragraph" w:styleId="Cabealhoerodap15">
    <w:name w:val="Cabeçalho e rodapé15"/>
    <w:basedOn w:val="Normal"/>
    <w:qFormat/>
    <w:pPr/>
    <w:rPr/>
  </w:style>
  <w:style w:type="paragraph" w:styleId="Cabealhoerodap14">
    <w:name w:val="Cabeçalho e rodapé14"/>
    <w:basedOn w:val="Normal"/>
    <w:qFormat/>
    <w:pPr/>
    <w:rPr/>
  </w:style>
  <w:style w:type="paragraph" w:styleId="Cabealhoerodap13">
    <w:name w:val="Cabeçalho e rodapé13"/>
    <w:basedOn w:val="Normal"/>
    <w:qFormat/>
    <w:pPr/>
    <w:rPr/>
  </w:style>
  <w:style w:type="paragraph" w:styleId="Cabealhoerodap12">
    <w:name w:val="Cabeçalho e rodapé12"/>
    <w:basedOn w:val="Normal"/>
    <w:qFormat/>
    <w:pPr/>
    <w:rPr/>
  </w:style>
  <w:style w:type="paragraph" w:styleId="Cabealhoerodap101">
    <w:name w:val="Cabeçalho e rodapé101"/>
    <w:basedOn w:val="Normal"/>
    <w:qFormat/>
    <w:pPr/>
    <w:rPr/>
  </w:style>
  <w:style w:type="paragraph" w:styleId="Cabealhoerodap91">
    <w:name w:val="Cabeçalho e rodapé91"/>
    <w:basedOn w:val="Normal"/>
    <w:qFormat/>
    <w:pPr/>
    <w:rPr/>
  </w:style>
  <w:style w:type="numbering" w:styleId="Semlista">
    <w:name w:val="Sem lista"/>
    <w:qFormat/>
  </w:style>
  <w:style w:type="numbering" w:styleId="WW8Num10">
    <w:name w:val="WW8Num10"/>
    <w:qFormat/>
  </w:style>
  <w:style w:type="numbering" w:styleId="WW8Num9">
    <w:name w:val="WW8Num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329</TotalTime>
  <Application>LibreOffice/24.2.6.2$Windows_X86_64 LibreOffice_project/ef66aa7e36a1bb8e65bfbc63aba53045a14d0871</Application>
  <AppVersion>15.0000</AppVersion>
  <Pages>15</Pages>
  <Words>6240</Words>
  <Characters>35326</Characters>
  <CharactersWithSpaces>41306</CharactersWithSpaces>
  <Paragraphs>301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2024-08-15T03:00:00Z</dcterms:created>
  <dc:creator>Marcos</dc:creator>
  <dc:description/>
  <dc:language>pt-BR</dc:language>
  <cp:lastModifiedBy/>
  <cp:lastPrinted>2026-03-11T18:03:06Z</cp:lastPrinted>
  <dcterms:modified xsi:type="dcterms:W3CDTF">2026-05-26T16:56:21Z</dcterms:modified>
  <cp:revision>64</cp:revision>
  <dc:subject/>
  <dc:title/>
</cp:coreProperties>
</file>

<file path=docProps/custom.xml><?xml version="1.0" encoding="utf-8"?>
<Properties xmlns="http://schemas.openxmlformats.org/officeDocument/2006/custom-properties" xmlns:vt="http://schemas.openxmlformats.org/officeDocument/2006/docPropsVTypes"/>
</file>